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01fb" w14:textId="da00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Мамлютском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17 апреля 2019 года № 49/3. Зарегистрировано Департаментом юстиции Северо-Казахстанской области 18 апреля 2019 года № 5354. Утратило силу решением маслихата Мамлютского района Северо-Казахстанской области от 29 апреля 2024 года № 25/6</w:t>
      </w:r>
    </w:p>
    <w:p>
      <w:pPr>
        <w:spacing w:after="0"/>
        <w:ind w:left="0"/>
        <w:jc w:val="both"/>
      </w:pP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29.04.2024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Мамлютском районе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Мамлютского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Мамлютского района Северо-Казахстанской области от 17 апреля 2019 года № 49/3</w:t>
            </w:r>
          </w:p>
        </w:tc>
      </w:tr>
    </w:tbl>
    <w:bookmarkStart w:name="z9" w:id="4"/>
    <w:p>
      <w:pPr>
        <w:spacing w:after="0"/>
        <w:ind w:left="0"/>
        <w:jc w:val="left"/>
      </w:pPr>
      <w:r>
        <w:rPr>
          <w:rFonts w:ascii="Times New Roman"/>
          <w:b/>
          <w:i w:val="false"/>
          <w:color w:val="000000"/>
        </w:rPr>
        <w:t xml:space="preserve"> Размер и порядок оказания жилищной помощи в Мамлютском районе Северо-Казахстанской области</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xml:space="preserve">
      Настоящий размер и порядок оказания жилищной помощи (далее - Порядок)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используются следующие основные понятия:</w:t>
      </w:r>
    </w:p>
    <w:bookmarkEnd w:id="6"/>
    <w:bookmarkStart w:name="z12"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7"/>
    <w:bookmarkStart w:name="z13" w:id="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8"/>
    <w:bookmarkStart w:name="z14" w:id="9"/>
    <w:p>
      <w:pPr>
        <w:spacing w:after="0"/>
        <w:ind w:left="0"/>
        <w:jc w:val="both"/>
      </w:pPr>
      <w:r>
        <w:rPr>
          <w:rFonts w:ascii="Times New Roman"/>
          <w:b w:val="false"/>
          <w:i w:val="false"/>
          <w:color w:val="000000"/>
          <w:sz w:val="28"/>
        </w:rPr>
        <w:t>
      3)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5" w:id="10"/>
    <w:p>
      <w:pPr>
        <w:spacing w:after="0"/>
        <w:ind w:left="0"/>
        <w:jc w:val="both"/>
      </w:pPr>
      <w:r>
        <w:rPr>
          <w:rFonts w:ascii="Times New Roman"/>
          <w:b w:val="false"/>
          <w:i w:val="false"/>
          <w:color w:val="000000"/>
          <w:sz w:val="28"/>
        </w:rPr>
        <w:t>
      4) уполномоченный орган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0"/>
    <w:bookmarkStart w:name="z16" w:id="11"/>
    <w:p>
      <w:pPr>
        <w:spacing w:after="0"/>
        <w:ind w:left="0"/>
        <w:jc w:val="both"/>
      </w:pPr>
      <w:r>
        <w:rPr>
          <w:rFonts w:ascii="Times New Roman"/>
          <w:b w:val="false"/>
          <w:i w:val="false"/>
          <w:color w:val="000000"/>
          <w:sz w:val="28"/>
        </w:rPr>
        <w:t>
      5) доля предельно-допустимых расходов-отношение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11"/>
    <w:bookmarkStart w:name="z17" w:id="12"/>
    <w:p>
      <w:pPr>
        <w:spacing w:after="0"/>
        <w:ind w:left="0"/>
        <w:jc w:val="left"/>
      </w:pPr>
      <w:r>
        <w:rPr>
          <w:rFonts w:ascii="Times New Roman"/>
          <w:b/>
          <w:i w:val="false"/>
          <w:color w:val="000000"/>
        </w:rPr>
        <w:t xml:space="preserve"> 2. Порядок оказания жилищной помощи</w:t>
      </w:r>
    </w:p>
    <w:bookmarkEnd w:id="12"/>
    <w:bookmarkStart w:name="z18" w:id="1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Мамлютского района на оплату:</w:t>
      </w:r>
    </w:p>
    <w:bookmarkEnd w:id="13"/>
    <w:bookmarkStart w:name="z19" w:id="14"/>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4"/>
    <w:bookmarkStart w:name="z20" w:id="15"/>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5"/>
    <w:bookmarkStart w:name="z21" w:id="16"/>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6"/>
    <w:bookmarkStart w:name="z22" w:id="17"/>
    <w:p>
      <w:pPr>
        <w:spacing w:after="0"/>
        <w:ind w:left="0"/>
        <w:jc w:val="both"/>
      </w:pPr>
      <w:r>
        <w:rPr>
          <w:rFonts w:ascii="Times New Roman"/>
          <w:b w:val="false"/>
          <w:i w:val="false"/>
          <w:color w:val="000000"/>
          <w:sz w:val="28"/>
        </w:rPr>
        <w:t>
      2. Назначение жилищной помощи осуществляется уполномоченным органом.</w:t>
      </w:r>
    </w:p>
    <w:bookmarkEnd w:id="17"/>
    <w:bookmarkStart w:name="z23" w:id="18"/>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на территории Мамлютского района.</w:t>
      </w:r>
    </w:p>
    <w:bookmarkEnd w:id="18"/>
    <w:bookmarkStart w:name="z24" w:id="19"/>
    <w:p>
      <w:pPr>
        <w:spacing w:after="0"/>
        <w:ind w:left="0"/>
        <w:jc w:val="both"/>
      </w:pPr>
      <w:r>
        <w:rPr>
          <w:rFonts w:ascii="Times New Roman"/>
          <w:b w:val="false"/>
          <w:i w:val="false"/>
          <w:color w:val="000000"/>
          <w:sz w:val="28"/>
        </w:rPr>
        <w:t>
      4.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19"/>
    <w:bookmarkStart w:name="z25" w:id="20"/>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0"/>
    <w:bookmarkStart w:name="z26"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1"/>
    <w:bookmarkStart w:name="z27" w:id="22"/>
    <w:p>
      <w:pPr>
        <w:spacing w:after="0"/>
        <w:ind w:left="0"/>
        <w:jc w:val="both"/>
      </w:pPr>
      <w:r>
        <w:rPr>
          <w:rFonts w:ascii="Times New Roman"/>
          <w:b w:val="false"/>
          <w:i w:val="false"/>
          <w:color w:val="000000"/>
          <w:sz w:val="28"/>
        </w:rPr>
        <w:t>
      В случае представления неполного пакета документов работник Государственной корпорации выдает расписку об отказе в приеме документов.</w:t>
      </w:r>
    </w:p>
    <w:bookmarkEnd w:id="22"/>
    <w:bookmarkStart w:name="z28" w:id="23"/>
    <w:p>
      <w:pPr>
        <w:spacing w:after="0"/>
        <w:ind w:left="0"/>
        <w:jc w:val="both"/>
      </w:pPr>
      <w:r>
        <w:rPr>
          <w:rFonts w:ascii="Times New Roman"/>
          <w:b w:val="false"/>
          <w:i w:val="false"/>
          <w:color w:val="000000"/>
          <w:sz w:val="28"/>
        </w:rPr>
        <w:t>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23"/>
    <w:bookmarkStart w:name="z29" w:id="24"/>
    <w:p>
      <w:pPr>
        <w:spacing w:after="0"/>
        <w:ind w:left="0"/>
        <w:jc w:val="both"/>
      </w:pPr>
      <w:r>
        <w:rPr>
          <w:rFonts w:ascii="Times New Roman"/>
          <w:b w:val="false"/>
          <w:i w:val="false"/>
          <w:color w:val="000000"/>
          <w:sz w:val="28"/>
        </w:rPr>
        <w:t>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24"/>
    <w:bookmarkStart w:name="z30" w:id="25"/>
    <w:p>
      <w:pPr>
        <w:spacing w:after="0"/>
        <w:ind w:left="0"/>
        <w:jc w:val="both"/>
      </w:pPr>
      <w:r>
        <w:rPr>
          <w:rFonts w:ascii="Times New Roman"/>
          <w:b w:val="false"/>
          <w:i w:val="false"/>
          <w:color w:val="000000"/>
          <w:sz w:val="28"/>
        </w:rPr>
        <w:t>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(пяти)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25"/>
    <w:bookmarkStart w:name="z31" w:id="26"/>
    <w:p>
      <w:pPr>
        <w:spacing w:after="0"/>
        <w:ind w:left="0"/>
        <w:jc w:val="both"/>
      </w:pPr>
      <w:r>
        <w:rPr>
          <w:rFonts w:ascii="Times New Roman"/>
          <w:b w:val="false"/>
          <w:i w:val="false"/>
          <w:color w:val="000000"/>
          <w:sz w:val="28"/>
        </w:rPr>
        <w:t>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6"/>
    <w:bookmarkStart w:name="z32" w:id="27"/>
    <w:p>
      <w:pPr>
        <w:spacing w:after="0"/>
        <w:ind w:left="0"/>
        <w:jc w:val="both"/>
      </w:pPr>
      <w:r>
        <w:rPr>
          <w:rFonts w:ascii="Times New Roman"/>
          <w:b w:val="false"/>
          <w:i w:val="false"/>
          <w:color w:val="000000"/>
          <w:sz w:val="28"/>
        </w:rPr>
        <w:t>
      6. Прием заявлений и выдача результатов оказания государственной услуги осуществляется через Государственную корпорацию и веб-портал "электронного правительства".</w:t>
      </w:r>
    </w:p>
    <w:bookmarkEnd w:id="27"/>
    <w:bookmarkStart w:name="z33" w:id="28"/>
    <w:p>
      <w:pPr>
        <w:spacing w:after="0"/>
        <w:ind w:left="0"/>
        <w:jc w:val="both"/>
      </w:pPr>
      <w:r>
        <w:rPr>
          <w:rFonts w:ascii="Times New Roman"/>
          <w:b w:val="false"/>
          <w:i w:val="false"/>
          <w:color w:val="000000"/>
          <w:sz w:val="28"/>
        </w:rPr>
        <w:t>
      7. Жилищная помощь назначается с начала месяца подачи заявления на текущий квартал.</w:t>
      </w:r>
    </w:p>
    <w:bookmarkEnd w:id="28"/>
    <w:bookmarkStart w:name="z34" w:id="29"/>
    <w:p>
      <w:pPr>
        <w:spacing w:after="0"/>
        <w:ind w:left="0"/>
        <w:jc w:val="both"/>
      </w:pPr>
      <w:r>
        <w:rPr>
          <w:rFonts w:ascii="Times New Roman"/>
          <w:b w:val="false"/>
          <w:i w:val="false"/>
          <w:color w:val="000000"/>
          <w:sz w:val="28"/>
        </w:rPr>
        <w:t>
      8.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заявителей.</w:t>
      </w:r>
    </w:p>
    <w:bookmarkEnd w:id="29"/>
    <w:bookmarkStart w:name="z35" w:id="30"/>
    <w:p>
      <w:pPr>
        <w:spacing w:after="0"/>
        <w:ind w:left="0"/>
        <w:jc w:val="left"/>
      </w:pPr>
      <w:r>
        <w:rPr>
          <w:rFonts w:ascii="Times New Roman"/>
          <w:b/>
          <w:i w:val="false"/>
          <w:color w:val="000000"/>
        </w:rPr>
        <w:t xml:space="preserve"> 3. Размер оказания жилищной помощи</w:t>
      </w:r>
    </w:p>
    <w:bookmarkEnd w:id="30"/>
    <w:bookmarkStart w:name="z36" w:id="31"/>
    <w:p>
      <w:pPr>
        <w:spacing w:after="0"/>
        <w:ind w:left="0"/>
        <w:jc w:val="both"/>
      </w:pPr>
      <w:r>
        <w:rPr>
          <w:rFonts w:ascii="Times New Roman"/>
          <w:b w:val="false"/>
          <w:i w:val="false"/>
          <w:color w:val="000000"/>
          <w:sz w:val="28"/>
        </w:rPr>
        <w:t>
      9. Размер жилищной помощи определяется как разница между суммой, затраченной на расходы за потребленные коммунальные услуги в пределах норм и предельно допустимых расходов семьи (гражданина) на эти цели.</w:t>
      </w:r>
    </w:p>
    <w:bookmarkEnd w:id="31"/>
    <w:bookmarkStart w:name="z37" w:id="32"/>
    <w:p>
      <w:pPr>
        <w:spacing w:after="0"/>
        <w:ind w:left="0"/>
        <w:jc w:val="both"/>
      </w:pPr>
      <w:r>
        <w:rPr>
          <w:rFonts w:ascii="Times New Roman"/>
          <w:b w:val="false"/>
          <w:i w:val="false"/>
          <w:color w:val="000000"/>
          <w:sz w:val="28"/>
        </w:rPr>
        <w:t>
      10.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пункта 1 главы 2.</w:t>
      </w:r>
    </w:p>
    <w:bookmarkEnd w:id="32"/>
    <w:bookmarkStart w:name="z38" w:id="33"/>
    <w:p>
      <w:pPr>
        <w:spacing w:after="0"/>
        <w:ind w:left="0"/>
        <w:jc w:val="both"/>
      </w:pPr>
      <w:r>
        <w:rPr>
          <w:rFonts w:ascii="Times New Roman"/>
          <w:b w:val="false"/>
          <w:i w:val="false"/>
          <w:color w:val="000000"/>
          <w:sz w:val="28"/>
        </w:rPr>
        <w:t>
      11. Доля предельно допустимых расходов в пределах установленных норм устанавливается для жителей района в размере 10 (десять) процентов от совокупного дохода семьи (гражданина).</w:t>
      </w:r>
    </w:p>
    <w:bookmarkEnd w:id="33"/>
    <w:bookmarkStart w:name="z39" w:id="34"/>
    <w:p>
      <w:pPr>
        <w:spacing w:after="0"/>
        <w:ind w:left="0"/>
        <w:jc w:val="both"/>
      </w:pPr>
      <w:r>
        <w:rPr>
          <w:rFonts w:ascii="Times New Roman"/>
          <w:b w:val="false"/>
          <w:i w:val="false"/>
          <w:color w:val="000000"/>
          <w:sz w:val="28"/>
        </w:rPr>
        <w:t>
      12. Совокупный доход семьи (гражданина) исчисляется уполномоченным органом за квартал, предшествующий кварталу обращения за назначением жилищной помощи, в порядке, определяемом действующим законодательством.</w:t>
      </w:r>
    </w:p>
    <w:bookmarkEnd w:id="34"/>
    <w:bookmarkStart w:name="z40" w:id="35"/>
    <w:p>
      <w:pPr>
        <w:spacing w:after="0"/>
        <w:ind w:left="0"/>
        <w:jc w:val="both"/>
      </w:pPr>
      <w:r>
        <w:rPr>
          <w:rFonts w:ascii="Times New Roman"/>
          <w:b w:val="false"/>
          <w:i w:val="false"/>
          <w:color w:val="000000"/>
          <w:sz w:val="28"/>
        </w:rPr>
        <w:t>
      13. При расчете размера жилищной помощи малообеспеченным (гражданам) учитываются следующие нормы:</w:t>
      </w:r>
    </w:p>
    <w:bookmarkEnd w:id="35"/>
    <w:bookmarkStart w:name="z41" w:id="36"/>
    <w:p>
      <w:pPr>
        <w:spacing w:after="0"/>
        <w:ind w:left="0"/>
        <w:jc w:val="both"/>
      </w:pPr>
      <w:r>
        <w:rPr>
          <w:rFonts w:ascii="Times New Roman"/>
          <w:b w:val="false"/>
          <w:i w:val="false"/>
          <w:color w:val="000000"/>
          <w:sz w:val="28"/>
        </w:rPr>
        <w:t>
      1) за норму площади жилья, обеспечиваемую компенсационными мерами принимается не более восемнадцати квадратных метров полезной площади на человека, но не менее однокомнатной квартиры или комнаты в общежитии;</w:t>
      </w:r>
    </w:p>
    <w:bookmarkEnd w:id="36"/>
    <w:bookmarkStart w:name="z42" w:id="37"/>
    <w:p>
      <w:pPr>
        <w:spacing w:after="0"/>
        <w:ind w:left="0"/>
        <w:jc w:val="both"/>
      </w:pPr>
      <w:r>
        <w:rPr>
          <w:rFonts w:ascii="Times New Roman"/>
          <w:b w:val="false"/>
          <w:i w:val="false"/>
          <w:color w:val="000000"/>
          <w:sz w:val="28"/>
        </w:rPr>
        <w:t>
      2) норма потребления коммунальных услуг, обеспечиваемых, компенсационными мерами для потребителей, не имеющих приборов учета, устанавливается в соответствии с действующим законодательством.</w:t>
      </w:r>
    </w:p>
    <w:bookmarkEnd w:id="37"/>
    <w:bookmarkStart w:name="z43" w:id="38"/>
    <w:p>
      <w:pPr>
        <w:spacing w:after="0"/>
        <w:ind w:left="0"/>
        <w:jc w:val="both"/>
      </w:pPr>
      <w:r>
        <w:rPr>
          <w:rFonts w:ascii="Times New Roman"/>
          <w:b w:val="false"/>
          <w:i w:val="false"/>
          <w:color w:val="000000"/>
          <w:sz w:val="28"/>
        </w:rPr>
        <w:t>
      Если нормы и тарифы на расходы не определены в установленном законодательством порядке, возмещение затрат прозводится по фактическим расходам.</w:t>
      </w:r>
    </w:p>
    <w:bookmarkEnd w:id="38"/>
    <w:bookmarkStart w:name="z44" w:id="39"/>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39"/>
    <w:bookmarkStart w:name="z45" w:id="40"/>
    <w:p>
      <w:pPr>
        <w:spacing w:after="0"/>
        <w:ind w:left="0"/>
        <w:jc w:val="both"/>
      </w:pPr>
      <w:r>
        <w:rPr>
          <w:rFonts w:ascii="Times New Roman"/>
          <w:b w:val="false"/>
          <w:i w:val="false"/>
          <w:color w:val="000000"/>
          <w:sz w:val="28"/>
        </w:rPr>
        <w:t xml:space="preserve">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Мамлютского района Северо-Казахстанской области от 17 апреля 2019 года № 49/3</w:t>
            </w:r>
          </w:p>
        </w:tc>
      </w:tr>
    </w:tbl>
    <w:bookmarkStart w:name="z47" w:id="41"/>
    <w:p>
      <w:pPr>
        <w:spacing w:after="0"/>
        <w:ind w:left="0"/>
        <w:jc w:val="left"/>
      </w:pPr>
      <w:r>
        <w:rPr>
          <w:rFonts w:ascii="Times New Roman"/>
          <w:b/>
          <w:i w:val="false"/>
          <w:color w:val="000000"/>
        </w:rPr>
        <w:t xml:space="preserve"> Перечень утративших силу некоторых решений маслихата Мамлютского района Северо-Казахстанской области</w:t>
      </w:r>
    </w:p>
    <w:bookmarkEnd w:id="41"/>
    <w:bookmarkStart w:name="z48"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Правилах оказания жилищной помощи малообеспеченным семьям (гражданам), проживающим в Мамлютском районе" от 25 сентября 2012 года № 6/1 (опубликовано 9 ноября 2012 года в районной газете "Знамя труда", 23 ноября 2012 года в районной газете "Солтүстік Жұлдызы", зарегистрировано в Реестре государственной регистрации нормативных правовых актов под № 1908).</w:t>
      </w:r>
    </w:p>
    <w:bookmarkEnd w:id="42"/>
    <w:bookmarkStart w:name="z49"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и дополнения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29 марта 2013 года № 12/6 (опубликовано 24 мая 2013 года в районной газете "Солтүстік Жұлдызы", 31 мая 2013 года в районной газете "Знамя труда", зарегистрировано в Реестре государственной регистрации нормативных правовых актов под № 2272).</w:t>
      </w:r>
    </w:p>
    <w:bookmarkEnd w:id="43"/>
    <w:bookmarkStart w:name="z50"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28 июня 2013 года № 16/3 (опубликовано 8 августа 2013 года в районной газете "Солтүстік Жұлдызы", 8 августа 2013 года в районной газете "Знамя труда", зарегистрировано в Реестре государственной регистрации нормативных правовых актов под № 2339).</w:t>
      </w:r>
    </w:p>
    <w:bookmarkEnd w:id="44"/>
    <w:bookmarkStart w:name="z51"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27 марта 2014 года № 27/5 (опубликовано 2 июня 2014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2677).</w:t>
      </w:r>
    </w:p>
    <w:bookmarkEnd w:id="45"/>
    <w:bookmarkStart w:name="z52"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29 июня 2015 года № 43/6 (опубликовано 6 августа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3330).</w:t>
      </w:r>
    </w:p>
    <w:bookmarkEnd w:id="46"/>
    <w:bookmarkStart w:name="z53"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27 января 2017 года № 12/3 (опубликовано 9 февраля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4042).</w:t>
      </w:r>
    </w:p>
    <w:bookmarkEnd w:id="47"/>
    <w:bookmarkStart w:name="z54"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25 сентября 2012 года № 6/1 "О Правилах оказания жилищной помощи малообеспеченным семьям (гражданам), проживающим в Мамлютском районе" от 12 мая 2017 года № 15/7 (опубликовано 7 июня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4201).</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