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313b" w14:textId="2e23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апреля 2019 года № 85. Зарегистрировано Департаментом юстиции Северо-Казахстанской области 12 апреля 2019 года № 5341.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13 сентября 2018 года № 264 (опубликовано 19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4925).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2019 года № 85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Регламент) разработан на основании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11284), (далее –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Северо-Казахстанской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оказания государственной услуги – 5 (пять) рабочих дней.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(полностью автоматизированная).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13 к настоящему Регламенту.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по месту регистрации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действия по оказанию государственной услуги является предоставление услугополучателем, посредством портала в информационную систему субсидирования, заявки на получение субсидий в форме электронного документа, удостоверенного ЭЦП, по форме, согласно приложению 3 к Стандарту.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осуществляется с 1 марта по 1 декабря (включительно) соответствующего года.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подтверждает принятие заявки, путем подписания с использованием ЭЦП соответствующего уведомления – 1 (один) рабочий день;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направляет уведомление о результатах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субсидирования, также в "личный кабинет" услугополучателя – 2 (два)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направляет соответствующее уведомление о результатах оказания государственной услуги на электронный адрес и в "личный кабинет" услугополучателя.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подтверждает принятие заявки, путем подписания с использованием ЭЦП соответствующего уведомления – 1 (один) рабочий день;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направляет уведомление о результатах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 – 2 (два) рабочих дня.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ЭЦП;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представляет в информационную систему субсидирования заявку на получение субсидий в форме электронного документа, удостоверенного ЭЦП;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подтверждает принятие заявки, путем подписания с использованием ЭЦП соответствующего уведомления;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в истории получения государственных услуг "личного кабинета" услугополучателя;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адрес электронной почты, указанный услугополучателем при регистрации на портале, также в "личный кабинет" информационной системы субсидирования результат оказания государственной услуги в форме электронного документа, подписанного ЭЦП;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уведомления о результатах оказания государственной услуги в форме электронного документа на адрес электронной почты, указанный при регистрации на портале, также в "личный кабинет" информационной системы субсидирования.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следующим основаниям: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заявки, представленных услугополучателем для получения государственной услуги, и (или) данных (сведений), содержащихся в них;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Министерстве юстиции Республики Казахстан 14 января 2015 года под № 10087).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 сельского хозяйства Республики Казахстан – www.moa.gov.kz;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через портал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