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3d0" w14:textId="fba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августа 2019 года № 3/499. Зарегистрировано Департаментом юстиции города Алматы 23 августа 2019 года № 1583.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1295, опубликовано 8 июля 2016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2/252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</w:t>
      </w:r>
      <w:r>
        <w:br/>
      </w:r>
      <w:r>
        <w:rPr>
          <w:rFonts w:ascii="Times New Roman"/>
          <w:b/>
          <w:i w:val="false"/>
          <w:color w:val="000000"/>
        </w:rPr>
        <w:t>техническое-профессиональное, послесреднее образование"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лицам, не завершившим техническое-профессиональное,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– услугодатель) на основании стандарта государственной услуги "Выдача справки лицам, не завершившим техническое-профессиональное,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результат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результат оказания государственной услуги услугополучателю, длительность процедуры – 1 рабочий день.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 xml:space="preserve">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ответственное лицо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учебной части услугодателя для передачи курьеру Государственной корпорации, длительность процедуры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передает курьеру Государственной корпорации результат оказания государственной услуги для передачи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техническое-профессиональное,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процедуры (действия) услугополучателя и (или) структурных подразделений (работников) услугодателя;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