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a2b0" w14:textId="fa9a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предоставлении лекарственных средств, специализированных лечебных продуктов, медицинских изделий отдельным категориям граждан при амбулаторном лечении бесплатно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ХLVII сессии маслихата города Алматы VI созыва от 27 мая 2019 года № 357. Зарегистрировано Департаментом юстиции города Алматы 31 мая 2019 года № 1568. Утратило силу решением маслихата города Алматы от 18 сентября 2021 года № 94</w:t>
      </w:r>
    </w:p>
    <w:p>
      <w:pPr>
        <w:spacing w:after="0"/>
        <w:ind w:left="0"/>
        <w:jc w:val="both"/>
      </w:pPr>
      <w:r>
        <w:rPr>
          <w:rFonts w:ascii="Times New Roman"/>
          <w:b w:val="false"/>
          <w:i w:val="false"/>
          <w:color w:val="ff0000"/>
          <w:sz w:val="28"/>
        </w:rPr>
        <w:t xml:space="preserve">
      Сноска. Утратило силу решением </w:t>
      </w:r>
      <w:r>
        <w:rPr>
          <w:rFonts w:ascii="Times New Roman"/>
          <w:b w:val="false"/>
          <w:i w:val="false"/>
          <w:color w:val="ff0000"/>
          <w:sz w:val="28"/>
        </w:rPr>
        <w:t>маслихата</w:t>
      </w:r>
      <w:r>
        <w:rPr>
          <w:rFonts w:ascii="Times New Roman"/>
          <w:b w:val="false"/>
          <w:i w:val="false"/>
          <w:color w:val="ff0000"/>
          <w:sz w:val="28"/>
        </w:rPr>
        <w:t xml:space="preserve"> города Алматы от 18.09.2021 № 94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маслихат города Алматы VI-го созыва РЕШИЛ:</w:t>
      </w:r>
    </w:p>
    <w:bookmarkStart w:name="z3" w:id="0"/>
    <w:p>
      <w:pPr>
        <w:spacing w:after="0"/>
        <w:ind w:left="0"/>
        <w:jc w:val="both"/>
      </w:pPr>
      <w:r>
        <w:rPr>
          <w:rFonts w:ascii="Times New Roman"/>
          <w:b w:val="false"/>
          <w:i w:val="false"/>
          <w:color w:val="000000"/>
          <w:sz w:val="28"/>
        </w:rPr>
        <w:t xml:space="preserve">
      1. Дополнительно предоставить лекарственные средства, специализированные лечебные продукты, медицинских изделий отдельным категориям граждан при амбулаторном лечении бесплатно,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4" w:id="1"/>
    <w:p>
      <w:pPr>
        <w:spacing w:after="0"/>
        <w:ind w:left="0"/>
        <w:jc w:val="both"/>
      </w:pPr>
      <w:r>
        <w:rPr>
          <w:rFonts w:ascii="Times New Roman"/>
          <w:b w:val="false"/>
          <w:i w:val="false"/>
          <w:color w:val="000000"/>
          <w:sz w:val="28"/>
        </w:rPr>
        <w:t>
      2.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и периодических печатных изданиях, а также в Эталонном контрольном банке нормативно-правовых актов Республики Казахстан и на официальном интернет-ресурсе.</w:t>
      </w:r>
    </w:p>
    <w:bookmarkEnd w:id="1"/>
    <w:bookmarkStart w:name="z5" w:id="2"/>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председателя постоянной комиссии по социально - культурному развитию маслихата города Алматы Садыкова Б.Н. </w:t>
      </w:r>
    </w:p>
    <w:bookmarkEnd w:id="2"/>
    <w:bookmarkStart w:name="z6" w:id="3"/>
    <w:p>
      <w:pPr>
        <w:spacing w:after="0"/>
        <w:ind w:left="0"/>
        <w:jc w:val="both"/>
      </w:pPr>
      <w:r>
        <w:rPr>
          <w:rFonts w:ascii="Times New Roman"/>
          <w:b w:val="false"/>
          <w:i w:val="false"/>
          <w:color w:val="000000"/>
          <w:sz w:val="28"/>
        </w:rPr>
        <w:t>
      4. Настоящее решение вводится в действие co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ХLVІІ-й сессии</w:t>
            </w:r>
            <w:r>
              <w:br/>
            </w:r>
            <w:r>
              <w:rPr>
                <w:rFonts w:ascii="Times New Roman"/>
                <w:b w:val="false"/>
                <w:i/>
                <w:color w:val="000000"/>
                <w:sz w:val="20"/>
              </w:rPr>
              <w:t xml:space="preserve"> маслихата города Алматы </w:t>
            </w:r>
            <w:r>
              <w:br/>
            </w:r>
            <w:r>
              <w:rPr>
                <w:rFonts w:ascii="Times New Roman"/>
                <w:b w:val="false"/>
                <w:i/>
                <w:color w:val="000000"/>
                <w:sz w:val="20"/>
              </w:rPr>
              <w:t>VІ-го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Байрамуков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города Алматы VІ-го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города Алматы </w:t>
            </w:r>
            <w:r>
              <w:br/>
            </w:r>
            <w:r>
              <w:rPr>
                <w:rFonts w:ascii="Times New Roman"/>
                <w:b w:val="false"/>
                <w:i w:val="false"/>
                <w:color w:val="000000"/>
                <w:sz w:val="20"/>
              </w:rPr>
              <w:t>от 27 мая 2019 года № 357</w:t>
            </w:r>
          </w:p>
        </w:tc>
      </w:tr>
    </w:tbl>
    <w:bookmarkStart w:name="z8" w:id="4"/>
    <w:p>
      <w:pPr>
        <w:spacing w:after="0"/>
        <w:ind w:left="0"/>
        <w:jc w:val="left"/>
      </w:pPr>
      <w:r>
        <w:rPr>
          <w:rFonts w:ascii="Times New Roman"/>
          <w:b/>
          <w:i w:val="false"/>
          <w:color w:val="000000"/>
        </w:rPr>
        <w:t xml:space="preserve"> Предоставляемые лекарственные средства, специализированные лечебные </w:t>
      </w:r>
      <w:r>
        <w:br/>
      </w:r>
      <w:r>
        <w:rPr>
          <w:rFonts w:ascii="Times New Roman"/>
          <w:b/>
          <w:i w:val="false"/>
          <w:color w:val="000000"/>
        </w:rPr>
        <w:t xml:space="preserve">продукты, изделия медицинского назначения отдельным категориям </w:t>
      </w:r>
      <w:r>
        <w:br/>
      </w:r>
      <w:r>
        <w:rPr>
          <w:rFonts w:ascii="Times New Roman"/>
          <w:b/>
          <w:i w:val="false"/>
          <w:color w:val="000000"/>
        </w:rPr>
        <w:t>граждан при амбулаторном лечении бесплатно</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71"/>
        <w:gridCol w:w="443"/>
        <w:gridCol w:w="10999"/>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Назология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выпуска/доза/характеристики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легочный фиброз</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150 миллиграмм.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посттромбоэмболическая легочная гипертензия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миллиграмм, 1,5 миллиграмм, 1,0 миллиграмм.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спондилоартрит, Псориатрический артрит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Инфиликсимаб</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миллиграмм.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спондилоартрит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шприц-ручках, 50 миллиграмм.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Остеопетроз</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миллиграмм.</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эпидермиолиз</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фиксирующий, 4 метр х 4 сантиметр, предназначен для фиксирующих повязок всех видов, в особенности на суставах, а также частях тела, имеющих коническую или округлую форму. Бинт из мягкой эластичной крепированной ткани с высоким содержанием натурального волокна; растяжимость не менее 160%; надежно закрепляется и не сползает; устойчив к кипячению и стерилизации (пар А не менее 134 °С). Не менее 41% хлопок, не менее 29% вискоза, не менее 30% полиамид.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фиксирующий, 4 метр х 10 сантиметр, предназначен для фиксирующих повязок всех видов, в особенности на суставах, а также частях тела, имеющих коническую или округлую форму. Бинт из мягкой эластичной крепированной ткани с высоким содержанием натурального волокна; растяжимость не менее 160%; надежно закрепляется и не сползает; устойчив к кипячению и стерилизации (пар А не менее 134 °С). Не менее 41% хлопок, не менее 29% вискоза, не менее 30% полиамид.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из хлопка и вискозы, идеально подходящий для закрепления любых повязок (на суставах, конечностях на голове) и для ухода за ранами любой степени тяжести. Когезивный фиксирующий бинт с двойным эффектом сцепления благодаря крепированной структуре ткани и микроточеченой пропитке гипоалергенным синтетическим клеем. Растяжимость 85%. Состав: 43% вискоза, 20% полиамид, 37% хлопок без латекса, 8 сантиметр*20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ватный, особо мягкий, нестерильный 3 метр х10 сантиметр, используется в качестве тонкого мягкого подкладочного материала под гипсовые, синтетические и компрессионные повязки и шины. Рекомендуется для пациентов с кожей повышенной чувствительности. Особо мягкий ватный синтетический бинт из гидрофобных закрученных волокон полиэфира, сохраняющих форму при механическом воздействии и воздействии влаги; за счет особого сцепления не образует складок и легко накладывается слоями, воздухо- и секретопроницаемый, выравнивает температуру; устойчив к облучению и стерилизации (пар А 134°С). Упаковано в картонные коробки.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125 грамм (Бензиловый спирт - 0,39%; Оксид цинка - 15,25%; Ланолин /гипоаллергенный/ - 4,00%; Бензилбензоат - 1,01% и бензилциннамат - 0,15%).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20 грамм (депротеинизированный диализат из крови здоровых молочных телят, стандартизированный химически и биологически).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30 грамм (офлоксацин 10 миллиграмм, диоксометилтетрагидропиримидин (метилурацил) 40 миллиграмм, лидокаина гидрохлорид (в форме моногидрата) </w:t>
            </w:r>
            <w:r>
              <w:br/>
            </w:r>
            <w:r>
              <w:rPr>
                <w:rFonts w:ascii="Times New Roman"/>
                <w:b w:val="false"/>
                <w:i w:val="false"/>
                <w:color w:val="000000"/>
                <w:sz w:val="20"/>
              </w:rPr>
              <w:t>
30 миллиграмм.).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5% 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Октенисепт</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250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Липикар</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Лосьон 250 миллилитр.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 гигиенические салфетки 50 штук; из нетканого материала, применяются без воды и мыла. Не содержат спирт. Нейтральный для кожи фактор рН. Экстракт ромашки аптечной оказывает антисептическое, противо-воспалительное действие. Используются при уходе за лежачими больными, для интимной гигиены; для очищения кожи в поездках; при сменном суточном режиме работы. Дерматологически протестировано и клинически испытано. Размер салфетки: 200 х 300 миллиметр, в упаковке 50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Гибкая абсорбирующая тонкая прокладки (технология Safetac) из пенополиуретана, покрытая мягким силиконовым контактным слоем (Safetac) и внешней пленкой, которая проницаема для испарений и непроницаема для воды</w:t>
            </w:r>
            <w:r>
              <w:br/>
            </w:r>
            <w:r>
              <w:rPr>
                <w:rFonts w:ascii="Times New Roman"/>
                <w:b w:val="false"/>
                <w:i w:val="false"/>
                <w:color w:val="000000"/>
                <w:sz w:val="20"/>
              </w:rPr>
              <w:t>
20 сантиметр*50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Гибкая абсорбирующая тонкая прокладки (технология Safetac) из пенополиуретана, покрытая мягким силиконовым контактным слоем (Safetac) и внешней пленкой, которая проницаема для испарений и непроницаема для воды</w:t>
            </w:r>
            <w:r>
              <w:br/>
            </w:r>
            <w:r>
              <w:rPr>
                <w:rFonts w:ascii="Times New Roman"/>
                <w:b w:val="false"/>
                <w:i w:val="false"/>
                <w:color w:val="000000"/>
                <w:sz w:val="20"/>
              </w:rPr>
              <w:t>
15 сантиметр *15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повязка, состав: пчелиный воск в количестве не менее 96,9%; прополис в количестве не менее 3,0 % к массе воска; витамин Е не менее 1,0 миллиграмм на 15*10 квадрат сантиметр поверхности изделия. На поверхность покрытия нанесена мазь Левомеколь 10 сантиметр *10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Атравматическая гипоаллергенная мазевая повязка из крупноячеистой воздухо - и секретопроницаемой хлопчатобумажной ткани. Состав мази: вазелин белый, воск, жирные кислоты. Стерильно, запечатано поштучно, </w:t>
            </w:r>
            <w:r>
              <w:br/>
            </w:r>
            <w:r>
              <w:rPr>
                <w:rFonts w:ascii="Times New Roman"/>
                <w:b w:val="false"/>
                <w:i w:val="false"/>
                <w:color w:val="000000"/>
                <w:sz w:val="20"/>
              </w:rPr>
              <w:t>
10 сантиметр *20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содержащая фармпрепаратов мазевая, сетчатая повязка проницаемая для влаги и экссудата, 10x20 сантиметр. Пропитана мазью с нейтральными показателями. Толстый слой мази не смывается даже при сильной экссудации. Легко разрезается на лоскуты необходимых размеров. Повязка эффективна при длительном применении, не раздражает кожу. Обладает гипоаллергенными свойствами. Мазь содержит белый вазелин.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