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4fb0" w14:textId="5a04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30 декабря 2019 года № 3/53. Зарегистрировано Департаментом юстиции Павлодарской области 9 января 2020 года № 6707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4/33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Качирского района" (зарегистрированное в Реестре государственной регистрации нормативных правовых актов за № 4089, опубликованное 14 октября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вопросам бюджетной политики и экономического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</w:t>
      </w:r>
      <w:r>
        <w:br/>
      </w:r>
      <w:r>
        <w:rPr>
          <w:rFonts w:ascii="Times New Roman"/>
          <w:b/>
          <w:i w:val="false"/>
          <w:color w:val="000000"/>
        </w:rPr>
        <w:t>приобретению топлива 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спорта и ветеринарии, проживающим и работающим</w:t>
      </w:r>
      <w:r>
        <w:br/>
      </w:r>
      <w:r>
        <w:rPr>
          <w:rFonts w:ascii="Times New Roman"/>
          <w:b/>
          <w:i w:val="false"/>
          <w:color w:val="000000"/>
        </w:rPr>
        <w:t>в сельских населенных пунктах района Тереңкөл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Тереңкөл (далее –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района Тереңкөл".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3 (три)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