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4730" w14:textId="c8147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района Тереңкөл</w:t>
      </w:r>
    </w:p>
    <w:p>
      <w:pPr>
        <w:spacing w:after="0"/>
        <w:ind w:left="0"/>
        <w:jc w:val="both"/>
      </w:pPr>
      <w:r>
        <w:rPr>
          <w:rFonts w:ascii="Times New Roman"/>
          <w:b w:val="false"/>
          <w:i w:val="false"/>
          <w:color w:val="000000"/>
          <w:sz w:val="28"/>
        </w:rPr>
        <w:t>Решение маслихата района Тереңкөл Павлодарской области от 31 октября 2019 года № 2/49. Зарегистрировано Департаментом юстиции Павлодарской области 5 ноября 2019 года № 6591.</w:t>
      </w:r>
    </w:p>
    <w:p>
      <w:pPr>
        <w:spacing w:after="0"/>
        <w:ind w:left="0"/>
        <w:jc w:val="both"/>
      </w:pPr>
      <w:bookmarkStart w:name="z1" w:id="0"/>
      <w:r>
        <w:rPr>
          <w:rFonts w:ascii="Times New Roman"/>
          <w:b w:val="false"/>
          <w:i w:val="false"/>
          <w:color w:val="000000"/>
          <w:sz w:val="28"/>
        </w:rPr>
        <w:t xml:space="preserve">
      В соответствии с пунктом 3-1 </w:t>
      </w:r>
      <w:r>
        <w:rPr>
          <w:rFonts w:ascii="Times New Roman"/>
          <w:b w:val="false"/>
          <w:i w:val="false"/>
          <w:color w:val="000000"/>
          <w:sz w:val="28"/>
        </w:rPr>
        <w:t>статьи 39-3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11 июля 2017 года "О внесении изменений и дополнений в некоторые законодательные акты Республики Казахстан по вопросам развития местного самоуправления",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от 6 апреля 2016 года "О правовых актах",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4 августа 2018 года № 724 "О переименовании Качирского, Лебяжинского районов Павлодарской области",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маслихат района Тереңкөл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района Тереңкөл (далее – Регламент).</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решения</w:t>
      </w:r>
      <w:r>
        <w:rPr>
          <w:rFonts w:ascii="Times New Roman"/>
          <w:b w:val="false"/>
          <w:i w:val="false"/>
          <w:color w:val="000000"/>
          <w:sz w:val="28"/>
        </w:rPr>
        <w:t xml:space="preserve"> Качирского районного маслихата от 20 июня 2018 года № 2/29 "Об утверждении регламента собрания местного сообщества сельских округов Качирского района" (зарегистрированное в Реестре государственной регистрации нормативных правовых актов за № 6015, опубликованное 20 июля 2018 года в Эталонном контрольном банке нормативных правовых актов Республики Казахстан в электронном виде).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социальной сферы и законности.</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 за исключением подпунктов 1) - 6), пункта 4 Регламента, которые вводятся в действие для сельских округов с численностью населения две тысячи и менее человек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Габидулин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района Тереңкөл</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Баяндинов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маслихата</w:t>
            </w:r>
            <w:r>
              <w:br/>
            </w:r>
            <w:r>
              <w:rPr>
                <w:rFonts w:ascii="Times New Roman"/>
                <w:b w:val="false"/>
                <w:i w:val="false"/>
                <w:color w:val="000000"/>
                <w:sz w:val="20"/>
              </w:rPr>
              <w:t>района Тереңкөл от "31"</w:t>
            </w:r>
            <w:r>
              <w:br/>
            </w:r>
            <w:r>
              <w:rPr>
                <w:rFonts w:ascii="Times New Roman"/>
                <w:b w:val="false"/>
                <w:i w:val="false"/>
                <w:color w:val="000000"/>
                <w:sz w:val="20"/>
              </w:rPr>
              <w:t>октября 2019 года № 2/49</w:t>
            </w:r>
          </w:p>
        </w:tc>
      </w:tr>
    </w:tbl>
    <w:bookmarkStart w:name="z7" w:id="5"/>
    <w:p>
      <w:pPr>
        <w:spacing w:after="0"/>
        <w:ind w:left="0"/>
        <w:jc w:val="left"/>
      </w:pPr>
      <w:r>
        <w:rPr>
          <w:rFonts w:ascii="Times New Roman"/>
          <w:b/>
          <w:i w:val="false"/>
          <w:color w:val="000000"/>
        </w:rPr>
        <w:t xml:space="preserve"> Регламент собрания местного сообщества сельских округов района Тереңкөл</w:t>
      </w:r>
    </w:p>
    <w:bookmarkEnd w:id="5"/>
    <w:p>
      <w:pPr>
        <w:spacing w:after="0"/>
        <w:ind w:left="0"/>
        <w:jc w:val="both"/>
      </w:pPr>
      <w:r>
        <w:rPr>
          <w:rFonts w:ascii="Times New Roman"/>
          <w:b w:val="false"/>
          <w:i w:val="false"/>
          <w:color w:val="ff0000"/>
          <w:sz w:val="28"/>
        </w:rPr>
        <w:t xml:space="preserve">
      Сноска. Регламент - в редакции решения маслихата района Тереңкөл Павлодарской области от 16.06.2022 </w:t>
      </w:r>
      <w:r>
        <w:rPr>
          <w:rFonts w:ascii="Times New Roman"/>
          <w:b w:val="false"/>
          <w:i w:val="false"/>
          <w:color w:val="ff0000"/>
          <w:sz w:val="28"/>
        </w:rPr>
        <w:t>№ 3/23</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района Тереңкөл (далее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маслихатом района.</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Start w:name="z8" w:id="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6"/>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исключен решением маслихата района Тереңкөл Павлодарской области от 16.08.2023 </w:t>
      </w:r>
      <w:r>
        <w:rPr>
          <w:rFonts w:ascii="Times New Roman"/>
          <w:b w:val="false"/>
          <w:i w:val="false"/>
          <w:color w:val="000000"/>
          <w:sz w:val="28"/>
        </w:rPr>
        <w:t xml:space="preserve">№ 4/5 </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сельских округов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w:t>
      </w:r>
      <w:r>
        <w:rPr>
          <w:rFonts w:ascii="Times New Roman"/>
          <w:b w:val="false"/>
          <w:i w:val="false"/>
          <w:color w:val="000000"/>
          <w:sz w:val="28"/>
        </w:rPr>
        <w:t>пункта 3</w:t>
      </w:r>
      <w:r>
        <w:rPr>
          <w:rFonts w:ascii="Times New Roman"/>
          <w:b w:val="false"/>
          <w:i w:val="false"/>
          <w:color w:val="000000"/>
          <w:sz w:val="28"/>
        </w:rPr>
        <w:t xml:space="preserve">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 акима сельского округа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аппаратом акима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w:t>
      </w:r>
    </w:p>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9" w:id="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7"/>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p>
      <w:pPr>
        <w:spacing w:after="0"/>
        <w:ind w:left="0"/>
        <w:jc w:val="both"/>
      </w:pPr>
      <w:r>
        <w:rPr>
          <w:rFonts w:ascii="Times New Roman"/>
          <w:b w:val="false"/>
          <w:i w:val="false"/>
          <w:color w:val="000000"/>
          <w:sz w:val="28"/>
        </w:rPr>
        <w:t>
      13.Решения,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Start w:name="z10" w:id="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8"/>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