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463" w14:textId="2352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декабря 2019 года № 418. Зарегистрировано Департаментом юстиции Костанайской области 30 декабря 2019 года № 8846.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23 034 671,4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17 350 033,5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63 656,0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5 543 652,9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24 283 786,9 тысячи тенге;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951 040,1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951 040,1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-2 200 155,6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2 200 155,6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03.08.2020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2020 год в сумме 237 749,0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32 192,0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205 557,0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2021 год в сумме 239 022,0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32 795,0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206 227,0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2022 год в сумме 241 268,0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33 543,0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207 725,0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 в городской бюджет города Рудного, составляют на 2020 год – 0,0 тысяч тенге, на 2021 год – 0,0 тысяч тенге, на 2022 год – 0,0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2020 год в сумме 100 000,0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2020 год, не подлежащих секвестру в процессе исполнения городского бюджета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шестнадцатой очередной сессии, секретарь Рудненского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24 283 786,9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24 657 320,3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не подлежащих секвестру в процессе исполнения городского бюджета города Рудного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