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e376" w14:textId="4b2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2015 года № 467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марта 2019 года № 349. Зарегистрировано Департаментом юстиции Костанайской области 14 марта 2019 года № 8296.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Утрати</w:t>
      </w:r>
      <w:r>
        <w:rPr>
          <w:rFonts w:ascii="Times New Roman"/>
          <w:b w:val="false"/>
          <w:i/>
          <w:color w:val="000000"/>
          <w:sz w:val="28"/>
        </w:rPr>
        <w:t xml:space="preserve">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февраля 2016 года в городской газете "Рудненский рабочий", зарегистрировано в Реестре государственной регистрации нормативных правовых актов под № 6153)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"Рудненский городской отдел занятости и социальных программ"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– услугополучатель) (либо его представитель по нотариально заверенной доверенности),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под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Размер жилищной помощи определяется уполномоченным органом, исходя из совокупного дохода семьи (гражданина), претендующего на получение жилищной помощи в соответствии с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под № 7412).".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