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8c9" w14:textId="125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октября 2019 года № 433. Зарегистрировано Департаментом юстиции Костанайской области 18 октября 2019 года № 8711.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Костанайской области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решения маслихата Костанайской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содержание кладбищ</w:t>
      </w:r>
      <w:r>
        <w:rPr>
          <w:rFonts w:ascii="Times New Roman"/>
          <w:b w:val="false"/>
          <w:i w:val="false"/>
          <w:color w:val="000000"/>
          <w:sz w:val="28"/>
        </w:rPr>
        <w:t>" (СП РК 3.02-141-2014).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районного (города областного значения):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"Об утверждении правил ведения публичной кадастровой карты" (зарегистрирован в Реестре государственной регистрации нормативных правовых актов за № 33106).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учетной документации в области здравоохранения, а также инструкций по их заполнению" от 30 октября 2020 года № ҚР ДСМ-175/2020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умершего с ранее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погребение,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по итогам конкурса в срок, установленный в соответствии с законодательством о государственных закупках.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