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8cbb" w14:textId="dba8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ноября 2015 года № 503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августа 2019 года № 343. Зарегистрировано Департаментом юстиции Костанайской области 16 августа 2019 года № 8624.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декабря 2015 года в газете "Қостанай таңы", зарегистрировано в Реестре государственной регистрации нормативных правовых актов под № 6062)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под № 11765) (далее – Стандарт).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услугополучатель (либо его представитель по доверенности), в том числе лица, имеющие льготы (далее – услугополучатель), обращаются в Государственную корпорацию, работник Государственной корпорации проверяет правильность заполнения заявления, и полноту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3 (три) минуты.".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