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b63c" w14:textId="b78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июля 2016 года № 323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апреля 2019 года № 151. Зарегистрировано Департаментом юстиции Костанайской области 12 апреля 2019 года № 8350.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охраны окружающей среды"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августа 2016 года в информационно-правовой системе "Әділет", зарегистрировано в Реестре государственной регистрации нормативных правовых актов под № 6570)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под № 11229) (далее –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юридических лиц;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электронной заявки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электронной заявки для оказания электронной государственной услуги посредством электронной цифровой подписи (далее – ЭЦП);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сроки оказания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под № 11229) (далее – Стандарт),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юридических лиц;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электронной заявки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электронной заявки для оказания электронной государственной услуги посредством электронной цифровой подписи (далее – ЭЦП);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