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0c9" w14:textId="275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308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июля 2019 года № 135. Зарегистрировано Департаментом юстиции Мангистауской области 11 июля 2019 года № 3948.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№ 2872, опубликовано 30 ноября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(далее– услугодатель).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29 мая 2015 года № 11229) государственной услуги (далее – Стандарт).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–ЭЦП) уполномоченного лица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II, ІІІ категории – не более 10 (десяти) рабочих дней;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(пяти) рабочих дней;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II, ІІІ категории – не более 10 (десяти) рабочих дней;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– не более 5 (пяти) рабочих дней;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за № 11229) (далее – Стандарт)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ответственным исполнителем услугодателя и оформление результата оказания государственной услуги: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день поступления заявления и передача его руководству услугодателя осуществляется работником канцелярии услугодателя;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 и наложение резолюции. Передача документа руководителю соответствующего структурного подразделения услугодателя;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исполнителя структурного подразделения;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ответственным исполнителем услугодателя и оформление результата оказания государственной услуги: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результат оказания государственной услуги руководителю услугодателя для подписания;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результата оказания государственной услуги руководителем услугодателя;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 от 9 июля 2019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 категорий"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 от 9 июля 2019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заключений государственной экологической экспертизы для объектов II, III и IV категорий"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