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2b42" w14:textId="83e2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13 октября 2015 года № 307 "Об утверждении регламентов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мая 2019 года № 103. Зарегистрировано Департаментом юстиции Мангистауской области 29 мая 2019 года № 3908. Утратило силу постановлением акимата Мангистауской области от 28 февраля 2020 года № 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декабря 2018 года № 543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за № 18103)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регулирования использования водного фонда" (зарегистрировано в Реестре государственной регистрации нормативных правовых актов за № 2873, опубликовано 30 ноября 2015 года в информационно – 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№ 11765) (далее – Стандарт).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получение услугодателем заявления по форме согласно приложению 1 и иных документов услугополучателя (либо его представителя по доверенности), в том числе лиц, имеющих льготы,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 регламенте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услуги "Предоставление водных объектов в обособленное или совместное пользование на конкурсной основе":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договор о представлении водного объекта в обособленное или совместное пользование между местными исполнительными органами области, районов,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№ 11765) (далее – Стандарт).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получение услугодателем заявления в произвольной форме и иных документов услугополучателя (либо его представителя по доверенности), в том числе лиц, имеющих льготы,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(Кусбеков Д.Т.) обеспечить государственную регистрацию настоящего постановления в органах юстиции, его официальное опубликование настоящего постановления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Сакеева Р.К.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