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7d12" w14:textId="eaf7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Кармакшы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27 декабря 2019 года № 293. Зарегистрировано Департаментом юстиции Кызылординской области 5 января 2020 года № 7178.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Кармакшы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87 148,5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1 312,5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87 148,5 тысяч тенге;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Кармакшинского районного маслихата Кызылординской области от 21.04.2020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25.05.2020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08.10.2020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2020 году объем бюджетной субвенций, передаваемый из районного бюджета в бюджет сельского округа Кармакшы установлен в размере 78 687 тысяч тенге.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бюджетной программы на 2020 год, не подлежащих секвестру в процессе исполнения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целевые трансферты, предусмотренные в бюджете сельского округа Кармакшы, на 2020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293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Кармакшы на 2020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Кармакшинского районного маслихата Кызылординской области от 08.10.2020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Кармакшинского районного маслихата от 27 декабря 2019 года № 293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Кармакшы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Кармакшинского районного маслихата от 27 декабря 2019 года № 293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Кармакшы на 2022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Кармакшинского районного маслихата от 27 декабря 2019 года № 293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бюджетной программы на 2020 год, не подлежащих секвестру в процессе исполнения местных бюджетов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Кармакшинского районного маслихата от 27 декабря 2019 года № 293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Кармакшы, на 2020 год за счет республиканского бюджета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