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bbe6" w14:textId="e95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Майдакол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364. Зарегистрировано Департаментом юстиции Кызылординской области 30 декабря 2019 года № 7103.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Майдакол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182504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178917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183468,1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-964,1 тысяч тенге;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964,1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сферу культуры 545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благоустройство, на освещение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обеспечению деятельности аппаратов акимов 1023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Казалинского районного маслихата Кызылординской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461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1412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благоустройство, на освещение 115216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18.05.2020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2020 год за счет средств областного бюджета предусмотрены нижеследующие целевые текущие трансферты бюджету сельского округа Майдакол: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10824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Казалинского районного маслихата Кызылординской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Казалинского районного маслихата от 26 декабря 2019 года № 364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Майдакол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Казалинского районного маслихата от 26 декабря 2019 года № 364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Майдакол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