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23b2" w14:textId="d18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24 декабря 2019 года № 470. Зарегистрировано Департаментом юстиции Карагандинской области 31 декабря 2019 года № 5652.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10 433 678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2 287 677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25 478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65 681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8 054 842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12 006 798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1 573 120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1 573 120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1 322 084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2020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2020 год предусмотрены субвенции из областного бюджета в сумме 4 617 812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нормативы распределения доходов в городской бюджет в следующих размерах: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90 процентов;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- 92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Саранского городского маслихата Карагандинской области от 02.09.2020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382 623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273 057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282 079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города Сарани на 2020 год в размере 24 959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Саранского городского маслихата Карагандинской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2 287 677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8 054 842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8 054 739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12 006 798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4 195 976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2 996 633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2 845 761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1 643 994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2 435 955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2 406 846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Саранского городского маслихата Карагандинской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инвалидов обязательными гигиеническими средствами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апробацию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к школе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насосных станций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Чкалова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инвалидов обязательными гигиеническими средствами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апробацию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 приобретаемого через портал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-средний ремонт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к школе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насосных станций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№1 (100 квартир) город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Чкалова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Программы, не подлежащие секвестру в процессе исполнения городского бюджета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