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66f1" w14:textId="4cf6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Саранского городского маслихата от 22 декабря 2011 года № 676 "Об определении Правил о размере и порядке оказания жилищной помощи населению города Сарани и поселка Актас"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Саранского городского маслихата Карагандинской области от 29 ноября 2019 года № 462. Зарегистрировано Департаментом юстиции Карагандинской области 4 декабря 2019 года № 5555. Утратило силу решением Саранского городского маслихата Карагандинской области от 28 марта 2024 года № 103</w:t>
      </w:r>
    </w:p>
    <w:p>
      <w:pPr>
        <w:spacing w:after="0"/>
        <w:ind w:left="0"/>
        <w:jc w:val="both"/>
      </w:pPr>
      <w:r>
        <w:rPr>
          <w:rFonts w:ascii="Times New Roman"/>
          <w:b w:val="false"/>
          <w:i w:val="false"/>
          <w:color w:val="ff0000"/>
          <w:sz w:val="28"/>
        </w:rPr>
        <w:t xml:space="preserve">
      Сноска. Утратило силу решением Саранского городского маслихата Карагандинской области от 28.03.2024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Саранский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Саранского городского маслихата от 22 декабря 2011 года № 676 "Об определении Правил о размере и порядке оказания жилищной помощи населению города Сарани и поселка Актас" (зарегистрировано в Реестре государственной регистрации нормативных правовых актов за № 8-7-129, опубликовано в газете "Саран газеті" от 30 декабря 2011 года № 53)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размере и порядке оказания жилищной помощи населению города Сарани и поселка Актас, определенных указанным решением: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подпункт 2) изложить в следующей редакции:</w:t>
      </w:r>
    </w:p>
    <w:bookmarkEnd w:id="4"/>
    <w:bookmarkStart w:name="z9" w:id="5"/>
    <w:p>
      <w:pPr>
        <w:spacing w:after="0"/>
        <w:ind w:left="0"/>
        <w:jc w:val="both"/>
      </w:pPr>
      <w:r>
        <w:rPr>
          <w:rFonts w:ascii="Times New Roman"/>
          <w:b w:val="false"/>
          <w:i w:val="false"/>
          <w:color w:val="000000"/>
          <w:sz w:val="28"/>
        </w:rPr>
        <w:t>
      "2) счет-документ (квитанция, извещение, справка) на оплату расходов общего имущества объекта кондоминиума,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 период назначения жилищной помощи;";</w:t>
      </w:r>
    </w:p>
    <w:bookmarkEnd w:id="5"/>
    <w:bookmarkStart w:name="z10" w:id="6"/>
    <w:p>
      <w:pPr>
        <w:spacing w:after="0"/>
        <w:ind w:left="0"/>
        <w:jc w:val="both"/>
      </w:pPr>
      <w:r>
        <w:rPr>
          <w:rFonts w:ascii="Times New Roman"/>
          <w:b w:val="false"/>
          <w:i w:val="false"/>
          <w:color w:val="000000"/>
          <w:sz w:val="28"/>
        </w:rPr>
        <w:t>
      подпункт 7) изложить в следующей редакции:</w:t>
      </w:r>
    </w:p>
    <w:bookmarkEnd w:id="6"/>
    <w:bookmarkStart w:name="z11" w:id="7"/>
    <w:p>
      <w:pPr>
        <w:spacing w:after="0"/>
        <w:ind w:left="0"/>
        <w:jc w:val="both"/>
      </w:pPr>
      <w:r>
        <w:rPr>
          <w:rFonts w:ascii="Times New Roman"/>
          <w:b w:val="false"/>
          <w:i w:val="false"/>
          <w:color w:val="000000"/>
          <w:sz w:val="28"/>
        </w:rPr>
        <w:t>
      "7)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bookmarkEnd w:id="7"/>
    <w:bookmarkStart w:name="z12" w:id="8"/>
    <w:p>
      <w:pPr>
        <w:spacing w:after="0"/>
        <w:ind w:left="0"/>
        <w:jc w:val="both"/>
      </w:pPr>
      <w:r>
        <w:rPr>
          <w:rFonts w:ascii="Times New Roman"/>
          <w:b w:val="false"/>
          <w:i w:val="false"/>
          <w:color w:val="000000"/>
          <w:sz w:val="28"/>
        </w:rPr>
        <w:t>
      подпункт 12) изложить в следующей редакции:</w:t>
      </w:r>
    </w:p>
    <w:bookmarkEnd w:id="8"/>
    <w:bookmarkStart w:name="z13" w:id="9"/>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"13)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 </w:t>
      </w:r>
    </w:p>
    <w:bookmarkEnd w:id="11"/>
    <w:bookmarkStart w:name="z18" w:id="12"/>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12"/>
    <w:bookmarkStart w:name="z19" w:id="13"/>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3"/>
    <w:bookmarkStart w:name="z20" w:id="14"/>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4"/>
    <w:bookmarkStart w:name="z21" w:id="15"/>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5"/>
    <w:bookmarkStart w:name="z22" w:id="16"/>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End w:id="16"/>
    <w:bookmarkStart w:name="z23" w:id="17"/>
    <w:p>
      <w:pPr>
        <w:spacing w:after="0"/>
        <w:ind w:left="0"/>
        <w:jc w:val="both"/>
      </w:pPr>
      <w:r>
        <w:rPr>
          <w:rFonts w:ascii="Times New Roman"/>
          <w:b w:val="false"/>
          <w:i w:val="false"/>
          <w:color w:val="000000"/>
          <w:sz w:val="28"/>
        </w:rPr>
        <w:t xml:space="preserve">
      Уровень предельно-допустимых расходов устанавливается к совокупному доходу семьи в размере десяти процентов. Уровень предельно-допустимых расходов является критерием для оказания помощи малообеспеченным семьям (гражданам). </w:t>
      </w:r>
    </w:p>
    <w:bookmarkEnd w:id="17"/>
    <w:bookmarkStart w:name="z24" w:id="18"/>
    <w:p>
      <w:pPr>
        <w:spacing w:after="0"/>
        <w:ind w:left="0"/>
        <w:jc w:val="both"/>
      </w:pP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18"/>
    <w:bookmarkStart w:name="z25" w:id="1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xml:space="preserve">
      "5) нормы расхода на содержание общего имущества объекта кондоминиума, мусороудаления, независимо от формы управления (кооперативов собственников квартир, комитет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xml:space="preserve">
      "18.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21"/>
    <w:bookmarkStart w:name="z29" w:id="2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 охране прав граждан и развитию социальной сферы.</w:t>
      </w:r>
    </w:p>
    <w:bookmarkEnd w:id="22"/>
    <w:bookmarkStart w:name="z30" w:id="2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Лютов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