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e39" w14:textId="f507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26 декабря 2019 года № 342. Зарегистрировано Департаментом юстиции Карагандинской области 9 января 2020 года № 5670.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8-5-127, опубликовано в газете "Қазыналы өңір" от 12 мая 2012 года № 18)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малообеспеченному населению города Каражал утвержденных указанным решением: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 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составляет 12 процентов к совокупному доходу семьи (гражданина) и является критерием для оказания жилищной помощи малообеспеченным семьям (гражданам).";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Оплата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сверх установленной нормы производится на общих основаниях.";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 жилищной помощи не может превышать суммы фактически начисленной платы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фактически начисленной сумме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предоставляют поставщики коммунальных услуг (на бумажных или электронных носителях) и (или) физические лица (на бумажных носителях).";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Жилищная помощь назначается уполномоченным органом с месяца подачи заявления со всеми необходимыми документами сроком на один год. Сведения о доходах и составе семьи, а также о расходах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ежеквартально предоставляются в уполномоченный орган.";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изменении доли предельно-допустимых расходов семьи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производится перерасчет ранее назначенных пособий с момента наступления соответствующих изменений.".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сферы и правовой защиты.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