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e182" w14:textId="bfce1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25 апреля 2016 года № 29/01 Об утверждении регламентов государственных услуг в сфере предпринимательства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25 июля 2019 года № 45/02. Зарегистрировано Департаментом юстиции Карагандинской области 26 июля 2019 года № 5420. Утратило силу постановлением акимата Карагандинской области от 24 июля 2020 года № 47/02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>акимата Карагандинской области от 24.07.2020 № 47/02 (вводится в действие по истечении десяти календарных дней после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(зарегистрированным в Реестре государственной регистрации нормативных правовых актов за номером 11181), акимат Карагандинской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акимата Карагандинской области от 25 апреля 2016 года № 29/01 "Об утверждении регламентов государственных услуг в сфере предпринимательства" (зарегистрировано в Реестре государственной регистрации нормативных правовых актов № 3824, опубликовано в газетах "Индустриальная Караганда" от 4 июня 2016 года № 70 (22015), "Орталық Қазақстан" от 4 июня 2016 года № 89 (22194) и информационно-правовой системе "Әділет" 6 июня 2016 года)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3),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следующей редакции: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регламент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регламент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регламент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области.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№29/01</w:t>
            </w:r>
          </w:p>
        </w:tc>
      </w:tr>
    </w:tbl>
    <w:bookmarkStart w:name="z2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</w:r>
    </w:p>
    <w:bookmarkEnd w:id="8"/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бизнеса-2020"" (далее – государственная услуга) оказывается местным исполнительным органом области (далее–услугодатель).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местного исполнительного органа области, (далее - Региональный координатор Программы) и веб-портал "электронного правительства" (далее - веб-портал).</w:t>
      </w:r>
    </w:p>
    <w:bookmarkEnd w:id="11"/>
    <w:bookmarkStart w:name="z2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бумажная/электронная.</w:t>
      </w:r>
    </w:p>
    <w:bookmarkEnd w:id="12"/>
    <w:bookmarkStart w:name="z3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договор о предоставлении гранта,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оказания государственной услуги "Предоставление государственных грантов субъектам малого предпринимательства для реализации новых бизнес-идей 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бизнеса-2020", утвержденного приказом Министра национальной экономики Республики Казахстан от 24 апреля 2015 года № 352 "Об утверждении стандартов государственных услуг в сфере предпринимательства" (зарегистрированным в Реестре государственной регистрации нормативных правовых актов за номером 11181) (далее – Стандарт).</w:t>
      </w:r>
    </w:p>
    <w:bookmarkEnd w:id="13"/>
    <w:bookmarkStart w:name="z3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бумажная/электронная.</w:t>
      </w:r>
    </w:p>
    <w:bookmarkEnd w:id="14"/>
    <w:bookmarkStart w:name="z3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3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наличие документов услугополучателя (либо его представителя по доверенности),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при обращении к услугодателю, в бумажной форме.</w:t>
      </w:r>
    </w:p>
    <w:bookmarkEnd w:id="16"/>
    <w:bookmarkStart w:name="z3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 на получение государственных грантов для реализации новых бизнес-идей, длительность их выполнения при обращении к услугодателю, в бумажной форме:</w:t>
      </w:r>
    </w:p>
    <w:bookmarkEnd w:id="17"/>
    <w:bookmarkStart w:name="z3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регистрацию пакета документов услугополучателя. Длительность выполнения – 20 (двадцать) минут;</w:t>
      </w:r>
    </w:p>
    <w:bookmarkEnd w:id="18"/>
    <w:bookmarkStart w:name="z3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исполнитель услугодателя осуществляет проверку пакета документов услугополучателя. Длительность выполнения – 2 (два) рабочих дня;</w:t>
      </w:r>
    </w:p>
    <w:bookmarkEnd w:id="19"/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исполнитель услугодателя формирует вопрос повестки дня, определяет дату, время и место проведения заседания Конкурсной комиссии, о чем уведомляет всех членов комиссии. Длительность выполнения – 1 (один) рабочий день;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заседание Конкурсной комиссии по отбору заявок Предпринимателей, претендующих на предоставление грантов. Длительность выполнения – 10 (десять) рабочих дней;</w:t>
      </w:r>
    </w:p>
    <w:bookmarkEnd w:id="21"/>
    <w:bookmarkStart w:name="z3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секретарь Конкурсной комиссии оформляет протокол Конкурсной комиссии, с указанием причин возможности предоставления/непредоставления гранта. Длительность выполнения – 3 (три) рабочих дня со дня последнего заседания Конкурсной комиссии;</w:t>
      </w:r>
    </w:p>
    <w:bookmarkEnd w:id="22"/>
    <w:bookmarkStart w:name="z4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6 - секретарь Конкурсной комиссии подписывает протокол всеми членами Конкурсной комиссии и утверждает председателем Конкурсной комиссии. Длительность выполнения 1 (один) рабочий день;</w:t>
      </w:r>
    </w:p>
    <w:bookmarkEnd w:id="23"/>
    <w:bookmarkStart w:name="z4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канцелярия услугодателя направляет уведомление услугополучателю о решении Конкурсной комиссии. Длительность выполнения – 1 (один) рабочий день;</w:t>
      </w:r>
    </w:p>
    <w:bookmarkEnd w:id="24"/>
    <w:bookmarkStart w:name="z4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услугодатель совместно с Финансовым агентством и услугополучателем подписывает договор о предоставлении гранта. Длительность выполнения – 10 (десять) рабочих дней со дня утверждения протокола Конкурсной комиссии.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со дня сдачи пакета документов услугодателю – 29 (двадцать девять) рабочих дней. </w:t>
      </w:r>
    </w:p>
    <w:bookmarkEnd w:id="26"/>
    <w:bookmarkStart w:name="z4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процедур (действий), входящих в состав процесса оказания государственной услуги на получение государственных грантов для реализации индустриально-инновационных проектов в рамках бизнес-инкубирования, длительность их выполнения при обращении к услугодателю, в бумажной форме:</w:t>
      </w:r>
    </w:p>
    <w:bookmarkEnd w:id="27"/>
    <w:bookmarkStart w:name="z4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регистрацию пакета документов услугополучателя. Длительность выполнения – 20 (двадцать) минут;</w:t>
      </w:r>
    </w:p>
    <w:bookmarkEnd w:id="28"/>
    <w:bookmarkStart w:name="z4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исполнитель услугодателя осуществляет проверку пакета документов услугополучателя. Длительность выполнения – 1 (один) рабочий день;</w:t>
      </w:r>
    </w:p>
    <w:bookmarkEnd w:id="29"/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3 - исполнитель услугодателя направляет материалы услугополучателя для проведения экспертиз в национальный институт. Длительность выполнения – 3 (три) рабочих дня;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национальный институт проводит экспертизы, формирует и направляет рекомендации на рассмотрение услугодателю. Длительность выполнения – 60 (шестьдесят) рабочих дней;</w:t>
      </w:r>
    </w:p>
    <w:bookmarkEnd w:id="31"/>
    <w:bookmarkStart w:name="z4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заседание Конкурсной комиссии по отбору заявок предпринимателей, претендующих на предоставление грантов. Длительность выполнения – 10 (десять) рабочих дней;</w:t>
      </w:r>
    </w:p>
    <w:bookmarkEnd w:id="32"/>
    <w:bookmarkStart w:name="z5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6 – секретарь Конкурсной комиссии оформляет протокол Конкурсной комиссии, с указанием причин возможности предоставления/непредоставления гранта. Длительность выполнения – 3 (три) рабочих дня со дня последнего заседания Конкурсной комиссии;</w:t>
      </w:r>
    </w:p>
    <w:bookmarkEnd w:id="33"/>
    <w:bookmarkStart w:name="z5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7 – канцелярия услугодателя направляет уведомление услугополучателю о решении Конкурсной комиссии. Длительность выполнения – 1 (один) рабочий день;</w:t>
      </w:r>
    </w:p>
    <w:bookmarkEnd w:id="34"/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8 – услугодатель совместно с национальным институтом и услугополучателем подписывает договор о предоставлении гранта. Длительность выполнения – 10 (десять) рабочих дней со дня утверждения протокола Конкурсной комиссии.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Срок оказания государственной услуги со дня сдачи пакета документов услугодателю, а также при обращении через портал – 89 (восемьдесят девять) рабочих дней. 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Результатом процедуры (действия) по оказанию государственной услуги по действию 1, указанному в пункте 5 настоящего Регламента, является регистрация канцелярией услугодателя пакета документов услугополучателя, которая служит основанием для начала выполнения действия 2, указанного в пункте 5 настоящего Регламента.</w:t>
      </w:r>
    </w:p>
    <w:bookmarkEnd w:id="37"/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5 настоящего Регламента, является уведомление услугополучателя об участии либо об отказе в участии в заседании Конкурсной комиссии, которое служит основанием для начала выполнения действия 3, указанного в пункте 5 настоящего Регламента.</w:t>
      </w:r>
    </w:p>
    <w:bookmarkEnd w:id="38"/>
    <w:bookmarkStart w:name="z5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5 настоящего Регламента, является формирование и утверждение повестки дня, уведомление членов Конкурсной комиссии о графике, предстоящих заседаний, которое служит основанием для начала выполнения действия 4, указанного в пункте 5 настоящего Регламента.</w:t>
      </w:r>
    </w:p>
    <w:bookmarkEnd w:id="39"/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проведение заседания Конкурсной комиссии, которое служит основанием для начала выполнения действия 4, указанного в пункте 5 настоящего Регламента.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оформленный протокол Конкурсной комиссии, который служит основанием для начала выполнения действия 6, указанного в пункте 5 настоящего Регламента.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6, указанному в пункте 5 настоящего Регламента, является протокол, подписанный всеми членами Конкурсной комиссии и утвержденный председателем Конкурсной комиссии.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7, указанному в пункте 5 настоящего Регламента, является уведомление услугополучателя о решении Конкурсной комиссии, которое при положительном заключении, служит основанием для начала выполнения действия 8, указанного в пункте 5 настоящего Регламента.</w:t>
      </w:r>
    </w:p>
    <w:bookmarkEnd w:id="43"/>
    <w:bookmarkStart w:name="z6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8, указанному в пункте 5 настоящего Регламента, является заключение трехстороннего договора о предоставлении гранта.</w:t>
      </w:r>
    </w:p>
    <w:bookmarkEnd w:id="44"/>
    <w:bookmarkStart w:name="z6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Результатом процедуры (действия) по оказанию государственной услуги по действию 1, указанному в пункте 6 настоящего Регламента, является регистрация канцелярией услугодателя пакета документов услугополучателя, которая служит основанием для начала выполнения действия 2, указанного в пункте 6 настоящего Регламента.</w:t>
      </w:r>
    </w:p>
    <w:bookmarkEnd w:id="45"/>
    <w:bookmarkStart w:name="z6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2, указанному в пункте 6 настоящего Регламента, является уведомление услугополучателя об участии либо об отказе в участии в Конкурсе, которое служит основанием для начала выполнения действия 3, указанного в пункте 6 настоящего Регламента.</w:t>
      </w:r>
    </w:p>
    <w:bookmarkEnd w:id="46"/>
    <w:bookmarkStart w:name="z6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3, указанному в пункте 6 настоящего Регламента, является направление услугодателем материалов услугополучателя для проведения экспертиз в национальный институт, что служит основанием для начала выполнения действия 4, указанного в пункте 6 настоящего Регламента.</w:t>
      </w:r>
    </w:p>
    <w:bookmarkEnd w:id="47"/>
    <w:bookmarkStart w:name="z6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6 настоящего Регламента, является предоставление услугодателю национальным институтом рекомендаций по результатам проведенных экспертиз, которые служат основанием для начала выполнения действия 5, указанного в пункте 6 настоящего Регламента.</w:t>
      </w:r>
    </w:p>
    <w:bookmarkEnd w:id="48"/>
    <w:bookmarkStart w:name="z6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6 настоящего Регламента, является проведение заседания Конкурсной комиссии, которое служит основанием для начала выполнения действия 6, указанного в пункте 6 настоящего Регламента.</w:t>
      </w:r>
    </w:p>
    <w:bookmarkEnd w:id="49"/>
    <w:bookmarkStart w:name="z6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6, указанному в пункте 6 настоящего Регламента, является оформленный протокол Конкурсной комиссии, который служит основанием для начала выполнения действия 7, указанного в пункте 6 настоящего Регламента.</w:t>
      </w:r>
    </w:p>
    <w:bookmarkEnd w:id="50"/>
    <w:bookmarkStart w:name="z6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7, указанному в пункте 6 настоящего Регламента, является уведомление услугополучателя о решении Конкурсной комиссии, которое при положительном заключении, служит основанием для начала выполнения действия 8, указанного в пункте 6 настоящего Регламента.</w:t>
      </w:r>
    </w:p>
    <w:bookmarkEnd w:id="51"/>
    <w:bookmarkStart w:name="z6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8, указанному в пункте 6 настоящего Регламента, является заключение трехстороннего договора о предоставлении гранта.</w:t>
      </w:r>
    </w:p>
    <w:bookmarkEnd w:id="52"/>
    <w:bookmarkStart w:name="z7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структурных подразделений услугодателя, которые участвуют в процессе оказания государственной услуги на получение государственных грантов для реализации новых бизнес-идей:</w:t>
      </w:r>
    </w:p>
    <w:bookmarkEnd w:id="54"/>
    <w:bookmarkStart w:name="z7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55"/>
    <w:bookmarkStart w:name="z7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56"/>
    <w:bookmarkStart w:name="z7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Конкурсной комиссии.</w:t>
      </w:r>
    </w:p>
    <w:bookmarkEnd w:id="57"/>
    <w:bookmarkStart w:name="z7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процедур (действий), необходимых для оказания государственной услуги на получение государственных грантов для реализации новых бизнес-идей:</w:t>
      </w:r>
    </w:p>
    <w:bookmarkEnd w:id="58"/>
    <w:bookmarkStart w:name="z7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пакет документов услугополучателя. Длительность выполнения – 20 (двадцать) минут;</w:t>
      </w:r>
    </w:p>
    <w:bookmarkEnd w:id="59"/>
    <w:bookmarkStart w:name="z7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проверяет пакет документов услугополучателя. Длительность выполнения – 2 (два) рабочих дня;</w:t>
      </w:r>
    </w:p>
    <w:bookmarkEnd w:id="60"/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формирование повестки дня, определение даты, времени и места проведения заседания Конкурсной комиссии, уведомление членов комиссии о предстоящих заседаниях. Длительность выполнения – 1 рабочий день.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заседание Конкурсной комиссии. Длительность выполнения – 10 (десять) рабочих дней;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секретарь Конкурсной комиссии оформляет протокол Конкурсной комиссии, с указанием причин возможности предоставления/непредоставления гранта. Длительность выполнения – 3 (три) рабочих дня со дня последнего заседания Конкурсной комиссии;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секретарь Конкурсной комиссии подписывает протокол всеми членами Конкурсной комиссии и утверждает председателем Конкурсной комиссии –1 (один) рабочий день; 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уведомляет услугополучателя о решении Конкурсной комиссии. Длительность выполнения – 1 (один) рабочий день;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совместно с Финансовым агентством и услугополучателем подписывает договор о предоставлении гранта. Длительность выполнения – 10 (десять) рабочих дней со дня утверждения протокола Конкурсной комиссии.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Перечень структурных подразделений услугодателя, которые участвуют в процессе оказания государственной услуги на получение государственных грантов для реализации индустриально-инновационных проектов в рамках бизнес-инкубирования: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Конкурсной комиссии.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Описание процедур (действий), необходимых для оказания государственной услуги на получение государственных грантов для реализации индустриально-инновационных проектов в рамках бизнес-инкубирования: 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регистрирует пакет документов услугополучателя. Длительность выполнения – 20 (двадцать) минут;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проверяет пакет документов услугополучателя. Длительность выполнения – 1 (один) рабочий день;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исполнитель услугодателя направляет материалы услугополучателя для проведения экспертиз в национальный институт. Длительность выполнения – 3 (три) рабочих дня;</w:t>
      </w:r>
    </w:p>
    <w:bookmarkEnd w:id="74"/>
    <w:bookmarkStart w:name="z9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национальный институт проводит экспертизы, формирует и направляет рекомендации на рассмотрение услугодателю. Длительность выполнения – 60 (шестьдесят) рабочих дней;</w:t>
      </w:r>
    </w:p>
    <w:bookmarkEnd w:id="75"/>
    <w:bookmarkStart w:name="z9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заседание Конкурсной комиссии. Длительность выполнения – 10 (десять) рабочих дней;</w:t>
      </w:r>
    </w:p>
    <w:bookmarkEnd w:id="76"/>
    <w:bookmarkStart w:name="z9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секретарь Конкурсной комиссии оформляет протокол Конкурсной комиссии, с указанием причин возможности предоставления/непредоставления гранта. Длительность выполнения – 3 (три) рабочих дня со дня последнего заседания Конкурсной комиссии;</w:t>
      </w:r>
    </w:p>
    <w:bookmarkEnd w:id="77"/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канцелярия услугодателя уведомляет услугополучателя о решении Конкурсной комиссии. Длительность выполнения – 1 (один) рабочий день;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услугодатель совместно с национальным институтом и услугополучателем подписывает договор о предоставлении гранта. Длительность выполнения – 10 (десять) рабочих дней со дня утверждения протокола Конкурсной комиссии.</w:t>
      </w:r>
    </w:p>
    <w:bookmarkEnd w:id="79"/>
    <w:bookmarkStart w:name="z97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Порядок обращения и последовательность процедур (действий) услугополучателя и услугодателя, при оказании государственной услуги на получение государственных грантов для реализации новых бизнес-идей через портал: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на веб портале/портале Центра электронных услуг (далее – ЦЭУ) осуществляет выбор государственной услуги на получение государственных грантов для реализации новых бизнес-идей;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услугополучателем регистрационного свидетельства электронной цифровой подписи (далее – ЭЦП) для удостоверения (подписания) запроса;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условие 1 –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регистрация электронного документа услугополучателя в информационной системе веб-портала/портала ЦЭУ. В "личном кабинете" услугополучателя отображается статус о регистрации заявки для оказания государственной услуги;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4 - получение услугополучателем результата государственной услуги (уведомление в "личный кабинет" услугополучателя и/или на электронный адрес) в форме электронного документа, удостоверенного ЭЦП уполномоченного лица услугодателя. 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обращения и последовательность процедур (действий) услугополучателя и услугодателя, при оказании государственной услуги на получение государственных грантов для реализации индустриально-инновационных проектов в рамках бизнес-инкубирования: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на портале осуществляет выбор государственной услуги на получение государственных грантов для реализации индустриально-инновационных проектов в рамках бизнес-инкубирования;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2 – выбор услугополучателем регистрационного свидетельства ЭЦП для удостоверения (подписания) запроса;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условие 1 – проверка полученных документов на соответствие перечню, предусмотренному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3 - регистрация электронного документа услугополучателя в информационной системе веб-портала. В "личном кабинете" услугополучателя отображается статус о регистрации заявки для оказания государственной услуги;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процесс 4 - получение услугополучателем результата государственной услуги (уведомление в "личный кабинет" услугополучателя и/или на электронный адрес) в форме электронного документа, удостоверенного ЭЦП уполномоченного лица услугодателя. 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приложении 1 к настоящему Регламенту. 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услуги, отражается в справочнике бизнес-процессов оказания государственной услуги, согласно приложению 2 и 3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 грантов субъектам малого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 для реализации новых бизнес-идей 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индустриально-инновационных проектов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бизнес-инкубирования в рамках Государственной программы поддержки и развития бизнеса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 карта бизнеса-2020"</w:t>
            </w:r>
          </w:p>
        </w:tc>
      </w:tr>
    </w:tbl>
    <w:bookmarkStart w:name="z121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97"/>
    <w:bookmarkStart w:name="z12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353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53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99"/>
    <w:bookmarkStart w:name="z12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1882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малого предпринимательства для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бизнес-идей и индустриально-инновационных проектов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бизнес-инкубирования в рамках Государственной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поддержки и развития бизнеса "Дорожная карта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бизнеса-2020"</w:t>
            </w:r>
          </w:p>
        </w:tc>
      </w:tr>
    </w:tbl>
    <w:bookmarkStart w:name="z133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Предоставление государственных грантов субъектам малого предпринимательства для реализации новых бизнес-идей в рамках Государственной программы поддержки и развития бизнеса "Дорожная карта бизнеса-2020"</w:t>
      </w:r>
    </w:p>
    <w:bookmarkEnd w:id="101"/>
    <w:bookmarkStart w:name="z13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7810500" cy="586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3"/>
    <w:bookmarkStart w:name="z13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4"/>
    <w:p>
      <w:pPr>
        <w:spacing w:after="0"/>
        <w:ind w:left="0"/>
        <w:jc w:val="both"/>
      </w:pPr>
      <w:r>
        <w:drawing>
          <wp:inline distT="0" distB="0" distL="0" distR="0">
            <wp:extent cx="73787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государственных грантов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субъектам малого предпринимательства для реализации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 бизнес-идей и индустриально-инновационных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в рамках бизнес-инкубирования в рамках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поддержки и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"Дорожная карта бизнеса-2020"</w:t>
            </w:r>
          </w:p>
        </w:tc>
      </w:tr>
    </w:tbl>
    <w:bookmarkStart w:name="z145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Предоставление государственных грантов субъектам малого предпринимательства для реализации индустриально-инновационных проектов в рамках бизнес-инкубирования в рамках Государственной программы поддержки и развития бизнеса "Дорожная карта бизнеса-2020"</w:t>
      </w:r>
    </w:p>
    <w:bookmarkEnd w:id="105"/>
    <w:bookmarkStart w:name="z1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6"/>
    <w:p>
      <w:pPr>
        <w:spacing w:after="0"/>
        <w:ind w:left="0"/>
        <w:jc w:val="both"/>
      </w:pPr>
      <w:r>
        <w:drawing>
          <wp:inline distT="0" distB="0" distL="0" distR="0">
            <wp:extent cx="7810500" cy="537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7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07"/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8"/>
    <w:p>
      <w:pPr>
        <w:spacing w:after="0"/>
        <w:ind w:left="0"/>
        <w:jc w:val="both"/>
      </w:pPr>
      <w:r>
        <w:drawing>
          <wp:inline distT="0" distB="0" distL="0" distR="0">
            <wp:extent cx="7378700" cy="95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787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 2019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апреля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№29/01</w:t>
            </w:r>
          </w:p>
        </w:tc>
      </w:tr>
    </w:tbl>
    <w:bookmarkStart w:name="z15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</w:t>
      </w:r>
    </w:p>
    <w:bookmarkEnd w:id="109"/>
    <w:bookmarkStart w:name="z16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0"/>
    <w:bookmarkStart w:name="z16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 (далее – государственная услуга) оказывается местным исполнительным органом области (далее – услугодатель). </w:t>
      </w:r>
    </w:p>
    <w:bookmarkEnd w:id="111"/>
    <w:bookmarkStart w:name="z16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канцелярией услугодателя и веб-портал "электронного правительства" (далее – веб-портал).</w:t>
      </w:r>
    </w:p>
    <w:bookmarkEnd w:id="112"/>
    <w:bookmarkStart w:name="z16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бумажная/электронная.</w:t>
      </w:r>
    </w:p>
    <w:bookmarkEnd w:id="113"/>
    <w:bookmarkStart w:name="z16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выписка из протокола заседания Регионального координационного совета (далее - РКС)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бизнеса "Дорожная карта бизнеса-2020", утвержденного приказом Министра национальной экономики Республики Казахстан 24 апреля 2015 года № 352 "Об утверждении стандартов государственных услуг в сфере предпринимательства" (зарегистрированным в Реестре государственной регистрации нормативных правовых актов за номером 11181) (далее – Стандарт).</w:t>
      </w:r>
    </w:p>
    <w:bookmarkEnd w:id="114"/>
    <w:bookmarkStart w:name="z16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 и электронная.</w:t>
      </w:r>
    </w:p>
    <w:bookmarkEnd w:id="115"/>
    <w:bookmarkStart w:name="z166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16"/>
    <w:bookmarkStart w:name="z16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услуги, является наличие документов услугополучателя (либо его представителя по доверенности)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17"/>
    <w:bookmarkStart w:name="z16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процедур (действий), входящих в состав процесса оказания государственной услуги, длительность выполнения:</w:t>
      </w:r>
    </w:p>
    <w:bookmarkEnd w:id="118"/>
    <w:bookmarkStart w:name="z16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1 – канцелярия услугодателя осуществляет прием и регистрацию пакета документов услугополучателя. Длительность выполнения – 20 (двадцать) минут;</w:t>
      </w:r>
    </w:p>
    <w:bookmarkEnd w:id="119"/>
    <w:bookmarkStart w:name="z17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2 – исполнитель услугодателя проверяет полноту пакета документов, проверяет проект услугополучателя на предмет соответствия условиям оказания государственной услуги, рассматривает информацию об участии в других государственных программах, использовании иных мер государственной поддержки через государственные институты развития, рассматривает проекты услугополучателей, реализуемые в приоритетных для региона секторах экономики, вносит на рассмотрение РКС список проектов услугополучателей, формирует вопрос повестки дня, определяет дату, время и место проведения заседания РКС. Длительность выполнения – 5 (пять) рабочих дней;</w:t>
      </w:r>
    </w:p>
    <w:bookmarkEnd w:id="120"/>
    <w:bookmarkStart w:name="z17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3 – проведение заседания РКС. Длительность выполнения – 1 (один) рабочий день;</w:t>
      </w:r>
    </w:p>
    <w:bookmarkEnd w:id="121"/>
    <w:bookmarkStart w:name="z17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4 – оформление секретарем РКС протокола заседания РКС, подготовка выписки из протокола заседания РКС и сопроводительного письма. Длительность выполнения – 2 (два) рабочих дня;</w:t>
      </w:r>
    </w:p>
    <w:bookmarkEnd w:id="122"/>
    <w:bookmarkStart w:name="z17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действие 5 – канцелярией услугодателя осуществляется регистрация сопроводительного письма и выписки из протокола заседания РКС. Длительность выполнения – 1 (один) рабочий день.</w:t>
      </w:r>
    </w:p>
    <w:bookmarkEnd w:id="123"/>
    <w:bookmarkStart w:name="z17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со дня сдачи пакета документов услугодателю – 11 (одинадцать) рабочих дней.</w:t>
      </w:r>
    </w:p>
    <w:bookmarkEnd w:id="124"/>
    <w:bookmarkStart w:name="z17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Результатом процедуры (действия) по оказанию государственной услуги по действию 1, указанному в пункте 5 настоящего Регламента, являются зарегистрированные документы услугополучателя, которые служат основанием для начала выполнения действия 2, указанного в пункте 5 настоящего Регламента. </w:t>
      </w:r>
    </w:p>
    <w:bookmarkEnd w:id="125"/>
    <w:bookmarkStart w:name="z17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2, указанному в пункте 5 настоящего Регламента, является согласование даты, времени, места проведения заседания РКС, которое служит основанием для начала выполнения действия 3, указанного в пункте 5 настоящего Регламента. </w:t>
      </w:r>
    </w:p>
    <w:bookmarkEnd w:id="126"/>
    <w:bookmarkStart w:name="z17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процедуры (действия) по оказанию государственной услуги по действию 3, указанному в пункте 5 настоящего Регламента, является проведение заседания РКС, которое служит основанием для начала выполнения действия 4, указанного в пункте 5 настоящего Регламента. </w:t>
      </w:r>
    </w:p>
    <w:bookmarkEnd w:id="127"/>
    <w:bookmarkStart w:name="z17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4, указанному в пункте 5 настоящего Регламента, является оформленный протокол РКС, с указанием причин предоставления/не предоставления гарантий, который служит основанием для начала выполнения действия 5, указанного в пункте 5 настоящего Регламента.</w:t>
      </w:r>
    </w:p>
    <w:bookmarkEnd w:id="128"/>
    <w:bookmarkStart w:name="z17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Результатом процедуры (действия) по оказанию государственной услуги по действию 5, указанному в пункте 5 настоящего Регламента, является выписка из протокола РКС.</w:t>
      </w:r>
    </w:p>
    <w:bookmarkEnd w:id="129"/>
    <w:bookmarkStart w:name="z180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30"/>
    <w:bookmarkStart w:name="z18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услугодателя, которые участвуют в процессе оказания государственной услуги:</w:t>
      </w:r>
    </w:p>
    <w:bookmarkEnd w:id="131"/>
    <w:bookmarkStart w:name="z18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32"/>
    <w:bookmarkStart w:name="z18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услугодателя;</w:t>
      </w:r>
    </w:p>
    <w:bookmarkEnd w:id="133"/>
    <w:bookmarkStart w:name="z18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секретарь РКС.</w:t>
      </w:r>
    </w:p>
    <w:bookmarkEnd w:id="134"/>
    <w:bookmarkStart w:name="z18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процедур (действий), необходимых для оказания государственной услуги:</w:t>
      </w:r>
    </w:p>
    <w:bookmarkEnd w:id="135"/>
    <w:bookmarkStart w:name="z18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осуществляет прием и регистрацию пакета документов услугополучателя. Длительность выполнения –20 (двадцать) минут;</w:t>
      </w:r>
    </w:p>
    <w:bookmarkEnd w:id="136"/>
    <w:bookmarkStart w:name="z18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 услугодателя проверяет полноту пакета документов, проверяет проект услугополучателя на предмет соответствия условиям оказания государственной услуги, рассматривает информацию об участии в других государственных программах, использовании иных мер государственной поддержки через государственные институты развития, рассматривает проекты услугополучателей, реализуемые в приоритетных для региона секторах экономики, вносит на рассмотрение РКС список проектов услугополучателей, формирует вопрос повестки дня, определяет дату, время и место проведения заседания РКС. Длительность выполнения – 7 (семь) рабочих дней;</w:t>
      </w:r>
    </w:p>
    <w:bookmarkEnd w:id="137"/>
    <w:bookmarkStart w:name="z18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заседание РКС. Длительность выполнения – 1 (один) рабочий день;</w:t>
      </w:r>
    </w:p>
    <w:bookmarkEnd w:id="138"/>
    <w:bookmarkStart w:name="z18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секретарь РКС оформляет протокол заседания РКС, подготавливает выписку из протокола заседания РКС, сопроводительное письмо и передает на подпись руководству услугодателя. Длительность выполнения – 2 (два) рабочих дня;</w:t>
      </w:r>
    </w:p>
    <w:bookmarkEnd w:id="139"/>
    <w:bookmarkStart w:name="z19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канцелярией услугодателя осуществляется регистрация сопроводительного письма и выписки из протокола заседания РКС. Длительность выполнения – 1 (один) рабочий день.</w:t>
      </w:r>
    </w:p>
    <w:bookmarkEnd w:id="140"/>
    <w:bookmarkStart w:name="z191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использования информационных систем в процессе оказания государственной услуги</w:t>
      </w:r>
    </w:p>
    <w:bookmarkEnd w:id="141"/>
    <w:bookmarkStart w:name="z19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Порядок обращения и последовательности процедур (действий) услугодателя и услугополучателя при оказании государственной услуги через веб-портал: </w:t>
      </w:r>
    </w:p>
    <w:bookmarkEnd w:id="142"/>
    <w:bookmarkStart w:name="z19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веб-портале с помощью своего регистрационного свидетельства ЭЦП, которое хранится в интернет-браузере компьютера услугополучателя (осуществляется для незарегистрированных услугополучателей на веб-портале);</w:t>
      </w:r>
    </w:p>
    <w:bookmarkEnd w:id="143"/>
    <w:bookmarkStart w:name="z19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– прикрепление в интернет-браузер компьютера услугополучателя регистрационного свидетельства ЭЦП, процесс ввода услугополучателем пароля (процесс авторизации) на веб-портале для получения государственной услуги;</w:t>
      </w:r>
    </w:p>
    <w:bookmarkEnd w:id="144"/>
    <w:bookmarkStart w:name="z19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веб-портале подлинности данных о зарегистрированном услугополучателе через логин (ИИН/БИН) и пароль;</w:t>
      </w:r>
    </w:p>
    <w:bookmarkEnd w:id="145"/>
    <w:bookmarkStart w:name="z19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веб-порталом сообщения об отказе в авторизации в связи с имеющимися нарушениями в данных услугополучателя;</w:t>
      </w:r>
    </w:p>
    <w:bookmarkEnd w:id="146"/>
    <w:bookmarkStart w:name="z19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получателем формы (ввод данных) с учетом ее структуры и форматных требований, прикрепление к форме запроса необходимых документов в электронном виде;</w:t>
      </w:r>
    </w:p>
    <w:bookmarkEnd w:id="147"/>
    <w:bookmarkStart w:name="z19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– оплата услуги на ПШЭП, а затем эта информация поступает в ИС ГБД;</w:t>
      </w:r>
    </w:p>
    <w:bookmarkEnd w:id="148"/>
    <w:bookmarkStart w:name="z19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– проверка в ИС ГБД факта оплаты за оказание услуги;</w:t>
      </w:r>
    </w:p>
    <w:bookmarkEnd w:id="149"/>
    <w:bookmarkStart w:name="z20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– формирование сообщения об отказе в запрашиваемой услуге, в связи с отсутствием оплаты за оказание услуги в ИС ГБД;</w:t>
      </w:r>
    </w:p>
    <w:bookmarkEnd w:id="150"/>
    <w:bookmarkStart w:name="z20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выбор услугополучателем регистрационного свидетельства ЭЦП для удостоверения (подписания) запроса;</w:t>
      </w:r>
    </w:p>
    <w:bookmarkEnd w:id="151"/>
    <w:bookmarkStart w:name="z20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условие 3 – проверка на веб-портале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bookmarkEnd w:id="152"/>
    <w:bookmarkStart w:name="z20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процесс 7 – формирование сообщения об отказе в запрашиваемой услуге в связи с не подтверждением подлинности ЭЦП услугополучателя;</w:t>
      </w:r>
    </w:p>
    <w:bookmarkEnd w:id="153"/>
    <w:bookmarkStart w:name="z20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– удостоверение (подписание) посредством ЭЦП услугополучателя заполненной формы (введенных данных) запроса на оказание услуги;</w:t>
      </w:r>
    </w:p>
    <w:bookmarkEnd w:id="154"/>
    <w:bookmarkStart w:name="z20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– регистрация электронного документа (запроса услугополучателя) в ИС ГБД и обработка запроса в ИС ГБД;</w:t>
      </w:r>
    </w:p>
    <w:bookmarkEnd w:id="155"/>
    <w:bookmarkStart w:name="z20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условие 4 – проверка услугодателем соответствия услугополучателя квалификационным требованиям и основаниям для оказания государственной услуги;</w:t>
      </w:r>
    </w:p>
    <w:bookmarkEnd w:id="156"/>
    <w:bookmarkStart w:name="z20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процесс 10 – формирование сообщения об отказе в запрашиваемой услуге в связи с имеющимися нарушениями в данных услугополучателя в ИС ГБД; </w:t>
      </w:r>
    </w:p>
    <w:bookmarkEnd w:id="157"/>
    <w:bookmarkStart w:name="z20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процесс 11 – получение услугополучателем результата оказания государственной услуги, сформированного веб-порталом. Электронный документ формируется с использованием ЭЦП уполномоченного лица услугодателя.</w:t>
      </w:r>
    </w:p>
    <w:bookmarkEnd w:id="158"/>
    <w:bookmarkStart w:name="z20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в оказании государственной услуги, приведена в приложении 1 к настоящему Регламенту. </w:t>
      </w:r>
    </w:p>
    <w:bookmarkEnd w:id="159"/>
    <w:bookmarkStart w:name="z21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услуги, отражается в справочнике бизнес-процессов оказания государственной услуги, согласно приложению 2 к настоящему Регламенту. Справочник бизнес-процессов оказания государственной услуги размещается на веб-портале "электронного правительства", интернет-ресурсе услугодателя.</w:t>
      </w:r>
    </w:p>
    <w:bookmarkEnd w:id="160"/>
    <w:bookmarkStart w:name="z21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</w:t>
      </w:r>
    </w:p>
    <w:bookmarkEnd w:id="161"/>
    <w:bookmarkStart w:name="z21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62"/>
    <w:bookmarkStart w:name="z21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 ГБД - информационная система государственной базы данных;</w:t>
      </w:r>
    </w:p>
    <w:bookmarkEnd w:id="163"/>
    <w:bookmarkStart w:name="z21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64"/>
    <w:bookmarkStart w:name="z21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- бизнес-идентификационный номер;</w:t>
      </w:r>
    </w:p>
    <w:bookmarkEnd w:id="165"/>
    <w:bookmarkStart w:name="z21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ПШЭП – платежный шлюз "электронного правительства";</w:t>
      </w:r>
    </w:p>
    <w:bookmarkEnd w:id="166"/>
    <w:bookmarkStart w:name="z21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подпись.</w:t>
      </w:r>
    </w:p>
    <w:bookmarkEnd w:id="1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 развитию производственной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инфраструктуры в рамках Государственной программы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и развития бизнеса "Дорожная карта бизнеса-2020"</w:t>
            </w:r>
          </w:p>
        </w:tc>
      </w:tr>
    </w:tbl>
    <w:bookmarkStart w:name="z223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</w:t>
      </w:r>
    </w:p>
    <w:bookmarkEnd w:id="168"/>
    <w:bookmarkStart w:name="z224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5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70"/>
    <w:bookmarkStart w:name="z226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1"/>
    <w:p>
      <w:pPr>
        <w:spacing w:after="0"/>
        <w:ind w:left="0"/>
        <w:jc w:val="both"/>
      </w:pPr>
      <w:r>
        <w:drawing>
          <wp:inline distT="0" distB="0" distL="0" distR="0">
            <wp:extent cx="7239000" cy="770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39000" cy="770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"Предоставление поддержки по развитию производственной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(индустриальной) инфраструктуры в рамках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программы поддержки и развития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"Дорожная карта бизнеса-2020"</w:t>
            </w:r>
          </w:p>
        </w:tc>
      </w:tr>
    </w:tbl>
    <w:bookmarkStart w:name="z233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"Предоставление поддержки по развитию производственной (индустриальной) инфраструктуры в рамках Государственной программы поддержки и развития "Дорожная карта бизнеса 2020"</w:t>
      </w:r>
    </w:p>
    <w:bookmarkEnd w:id="172"/>
    <w:bookmarkStart w:name="z234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3"/>
    <w:p>
      <w:pPr>
        <w:spacing w:after="0"/>
        <w:ind w:left="0"/>
        <w:jc w:val="both"/>
      </w:pPr>
      <w:r>
        <w:drawing>
          <wp:inline distT="0" distB="0" distL="0" distR="0">
            <wp:extent cx="7810500" cy="346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bookmarkEnd w:id="174"/>
    <w:bookmarkStart w:name="z23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75"/>
    <w:p>
      <w:pPr>
        <w:spacing w:after="0"/>
        <w:ind w:left="0"/>
        <w:jc w:val="both"/>
      </w:pPr>
      <w:r>
        <w:drawing>
          <wp:inline distT="0" distB="0" distL="0" distR="0">
            <wp:extent cx="7810500" cy="283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83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header.xml" Type="http://schemas.openxmlformats.org/officeDocument/2006/relationships/header" Id="rId1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