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fb78" w14:textId="920f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января 2019 года № 376. Зарегистрировано Департаментом юстиции Карагандинской области 23 января 2019 года № 5161. Утратило силу решением Карагандинского областного маслихата от 30 января 2025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30.01.2025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качества окружающей среды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промышленности, развитию малого и среднего бизнеса, аграрным вопросам и экологии Карагандинского областного маслихата (Осин Ш.А.).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376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данные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на 2020год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лет на 2023год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9 лет на 2026год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Атмосферный воздух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улица Сейфуллина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0,003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Космонавтов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0,003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Космонавтов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3,0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Абдирова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3,0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45-й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3,0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3,0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улица Сейфуллина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Космонавтов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Абдирова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Майлина– улица Архитектурная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улица Сейфуллина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Космонавтов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- улицаАбдирова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Майлина– улица Архитектурная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45-й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 – улица Космонавтов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Метилмеркаптаны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0,006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Майлина– улица Архитектурная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0,006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45-й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0,0494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(старый город)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0,063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(старый город)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0,063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0,073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(старый город)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0,073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0,04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(старый город)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0,08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0,04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(пыль)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0,15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(старый город)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0,15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улица Агыбай Батыра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Камендеби– улица Мусиных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0,053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улица Агыбай Батыра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Карамендеби– улица Мусиных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Аубакира Алимжанова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Сейфуллина– проспект Алашахана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0,007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0,003 мг/м3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0,03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0,3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0,15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балка (Майкудук)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Анжерская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 – улица Солнечная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50.044842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72.963838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50.062239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72.992792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50.084047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72.910924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проспект Алашахана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9-й микрорайон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Мира- улица Гагарина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 (концентрация тяжелых металлов в листьях древесных растений в конце вегетационного периода)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нового Майкудука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34,18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5,0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Зелинского автостанция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0,5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обнаружено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шумового воздействия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45-й квартал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звука в период с 12:00 до 15:00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акустический децибел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акустический децибел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– улица Крылова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акустический децибел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60 акустический децибел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Строителей (пересечение с улицей Муканова)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акустический децибел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акустический децибел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безопасность питьевой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Нуринского района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альфа бета активность питьевой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Осакаровского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Жанааркинского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Каркаралинского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Шетского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Бухар-Жырауского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Бк/л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Радонобезопасность жилых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 радона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Шабанбайби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 радона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селоТомар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 радона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 радона жилых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обозначения: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Бк/л- беккерель/литр;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дБ-децибел;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СОА – средняя объемная активность;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Бк/м3- беккерель/метр кубический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