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df4d" w14:textId="f39d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18 января 2016 года № 8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 октября 2019 года № 218. Зарегистрировано Департаментом юстиции Жамбылской области 3 октября 2019 года № 4346.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марта 2016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со стандартом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9-3/999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12520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пакета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портал в форме электронного документа, удостоверенного электронной цифровой подписью.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 услугополучателем форме электронного документа, удостоверенного электронной цифровой подписью;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принимает решение о соответствии/не соответствии заявки, подписываемой электронной цифровой подписью;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-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заявка поступает в личный кабинет экспертной организации или группе специалистов, в течение 9 (девяти) рабочих дней готовит электронное заключение, подписываемое электронной цифровой подписью;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личный кабинет ответственного исполнителя услугодателя поступает заключение от экспертной организации или группы специалистов о соответствии либо не соответствии;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с использованием электронной цифровой подписи подписывается электронный договор субсидирования между ответственным исполнителем услугодателя и услугополучателя в течение 1 (одного) рабочего дня;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финансирования услугодателя в течение 1 (одного) рабочего дня формирует платежные поручения и направляет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финансирования формирование в информационной системе субсидирования платежных поручений на выплату субсидий, подписанное электронной цифровой подписью руководителя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субсидии либо мотивированный отказ.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расходов,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расходов,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