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df4d" w14:textId="f39d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января 2016 года № 8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октября 2019 года № 218. Зарегистрировано Департаментом юстиции Жамбылской области 3 октября 2019 года № 4346.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марта 2016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 № 8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со стандартом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9-3/999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12520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пакета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портал в форме электронного документа, удостоверенного электронной цифровой подписью.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 услугополучателем форме электронного документа, удостоверенного электронной цифровой подписью;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принимает решение о соответствии/не соответствии заявки, подписываемой электронной цифровой подписью;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-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соответствия, заявка поступает в личный кабинет экспертной организации или группе специалистов, в течение 9 (девяти) рабочих дней готовит электронное заключение, подписываемое электронной цифровой подписью;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личный кабинет ответственного исполнителя услугодателя поступает заключение от экспертной организации или группы специалистов о соответствии либо не соответствии;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с использованием электронной цифровой подписи подписывается электронный договор субсидирования между ответственным исполнителем услугодателя и услугополучателя в течение 1 (одного) рабочего дня;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финансирования услугодателя в течение 1 (одного) рабочего дня формирует платежные поручения и направляет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финансирования формирование в информационной системе субсидирования платежных поручений на выплату субсидий, подписанное электронной цифровой подписью руководителя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субсидии либо мотивированный отказ.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расходов,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расходов,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