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211b" w14:textId="0e82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25 апреля 2019 года № 356. Зарегистрировано Департаментом юстиции города Шымкент 29 апреля 2019 года № 38.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Д. Жумина.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 № 356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удобрений (за исключением органических)" (далее – государственная услуга) оказывается гоударственным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стоимости удобрений (за исключением органических)",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(зарегистрирован в Реестре государственной регистрации нормативных правовых актов под № 11946)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субсидирование стоимости удобрений (за исключением органических) (далее – субсидия),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Портал –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 № 356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гоударственным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(зарегистрирован в Реестре государственной регистрации нормативных правовых актов под № 11684)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 (далее – субсидия),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Портал –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2 (два) рабочих дня;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 № 356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развития семеноводства" (далее – государственная услуга) оказывается гоударственным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развития семеноводства",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(зарегистрирован в Реестре государственной регистрации нормативных правовых актов под № 11455)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субсидирование развития семеноводства (далее – субсидия),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Портал –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этим при подаче переводной заявки срок оказания государственной услуги увеличивается на 15(пятнадцать)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этим при подаче переводной заявки срок оказания государственной услуги увеличивается на 15(пятнадцать)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 № 356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 оказывается гоударственным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(зарегистрирован в Реестре государственной регистрации нормативных правовых актов под № 12091)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 (далее – субсидия),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Портал –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8 (восемь)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лизензии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8 (восемь)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лизензии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 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 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