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52613" w14:textId="e2526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Алматинской области от 12 октября 2017 года № 424 "Об утверждении регламента государственной услуги "Субсидирование стоимости удобрений (за исключением органических"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Алматинской области от 18 октября 2019 года № 453. Зарегистрировано Департаментом юстиции Алматинской области 22 октября 2019 года № 5287. Утратило силу постановлением акимата Алматинской области от 19 марта 2020 года № 113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Алматинской области от 19.03.2020 </w:t>
      </w:r>
      <w:r>
        <w:rPr>
          <w:rFonts w:ascii="Times New Roman"/>
          <w:b w:val="false"/>
          <w:i w:val="false"/>
          <w:color w:val="ff0000"/>
          <w:sz w:val="28"/>
        </w:rPr>
        <w:t>№ 113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 и приказом Министра сельского хозяйства Республики Казахстан от 21 июля 2015 года </w:t>
      </w:r>
      <w:r>
        <w:rPr>
          <w:rFonts w:ascii="Times New Roman"/>
          <w:b w:val="false"/>
          <w:i w:val="false"/>
          <w:color w:val="000000"/>
          <w:sz w:val="28"/>
        </w:rPr>
        <w:t>№ 4-4/679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стандарта государственной услуги "Субсидирование стоимости удобрений (за исключением органических)" (зарегистрирован в Реестре государственной регистрации нормативных правовых актов № 11946), акимат Алматинской области ПОСТАНОВЛЯЕТ: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Алматинской области "Об утверждении регламента государственной услуги "Субсидирование стоимости удобрений (за исключением органических" от 12 октября 2017 года № 424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4352</w:t>
      </w:r>
      <w:r>
        <w:rPr>
          <w:rFonts w:ascii="Times New Roman"/>
          <w:b w:val="false"/>
          <w:i w:val="false"/>
          <w:color w:val="000000"/>
          <w:sz w:val="28"/>
        </w:rPr>
        <w:t>, опубликован 17 ноября 2017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изложить в следующей редакции: 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регламента государственной услуги "Субсидирование стоимости удобрений (за исключением органических)";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регламент государственной услуги "Субсидирование стоимости удобрений (за исключением органических)", утвержденный указанным постановлением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сельского хозяйства Алматинской области" в установленном законодательством Республики Казахстан порядке обеспечить: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постановления в Департаменте юстиции Алматинской области; 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Алматинской области после его официального опубликования;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постановления представление в государственно-правовой отдел аппарата акима Алматинской области сведений об исполнении мероприятий, предусмотренных подпунктами 1) и 2) настоящего пункта.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Алматинской области С. Бескемпирова.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Баталов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акимата Алматинской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"__" _______ 2019 года № ___</w:t>
            </w:r>
          </w:p>
        </w:tc>
      </w:tr>
    </w:tbl>
    <w:bookmarkStart w:name="z2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Утвержден постановлением акимата Алматинской области от 12 октября 2017 года № 424 Регламент государственной услуги "Субсидирование стоимости удобрений (за исключением органических)"</w:t>
      </w:r>
    </w:p>
    <w:bookmarkEnd w:id="10"/>
    <w:bookmarkStart w:name="z2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1"/>
    <w:bookmarkStart w:name="z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"Субсидирование стоимости удобрений (за исключением органических)" (далее - государственная услуга) оказывается бесплатно физическим и юридическим лицам (далее - услугополучатель) местным исполнительным органом области (далее – услугодатель).</w:t>
      </w:r>
    </w:p>
    <w:bookmarkEnd w:id="12"/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на основании стандарта государственной услуги "Субсидирование стоимости удобрений (за исключением органических)", утвержденного приказом Министра сельского хозяйства Республики Казахстан от 21 июля 2015 года </w:t>
      </w:r>
      <w:r>
        <w:rPr>
          <w:rFonts w:ascii="Times New Roman"/>
          <w:b w:val="false"/>
          <w:i w:val="false"/>
          <w:color w:val="000000"/>
          <w:sz w:val="28"/>
        </w:rPr>
        <w:t>№ 4-4/679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 в Реестре государственной регистрации нормативных правовых актов № 11946) (далее – Стандарт).</w:t>
      </w:r>
    </w:p>
    <w:bookmarkEnd w:id="13"/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заявок (переводных заявок) и выдача результатов оказания государственной услуги осуществляются через веб-портал "электронного правительства" www.egov.kz (далее – портал).</w:t>
      </w:r>
    </w:p>
    <w:bookmarkEnd w:id="14"/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(полностью автоматизированная).</w:t>
      </w:r>
    </w:p>
    <w:bookmarkEnd w:id="15"/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 уведомление о перечислении субсидии либо мотивированный отказ в предоставлении государственной услуги в случаях и по основаниям, предусмотренным пунктом 10 Стандарта. Причитающиеся субсидии перечисляются на счета:</w:t>
      </w:r>
    </w:p>
    <w:bookmarkEnd w:id="16"/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сельскохозяйственных товаропроизводителей (далее – сельхозтоваропроизводитель) или сельскохозяйственных кооперативов (далее – сельхозкооператив) для возмещения затрат на приобретенные удобрения (за исключением органических) в текущем году и (или) в 4 (четвертом) квартале предыдущего года у продавца удобрений;</w:t>
      </w:r>
    </w:p>
    <w:bookmarkEnd w:id="17"/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отечественных производителей удобрений для удешевления стоимости удобрений (за исключением органических), реализованных сельхозтоваропроизводителям или сельхозкооперативам в текущем году и (или) в 4 (четвертом) квартале предыдущего года.</w:t>
      </w:r>
    </w:p>
    <w:bookmarkEnd w:id="18"/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представления результата оказания государственной услуги: электронная.</w:t>
      </w:r>
    </w:p>
    <w:bookmarkEnd w:id="19"/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результате оказания государственной услуги направляется в "личный кабинет" услугополучателя в форме электронного документа по формам, согласно приложениям 1 и 2 к Стандарту.</w:t>
      </w:r>
    </w:p>
    <w:bookmarkEnd w:id="20"/>
    <w:bookmarkStart w:name="z3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1"/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обращение услугополучателя с пакетом документов, согласно пункту 9 Стандарта.</w:t>
      </w:r>
    </w:p>
    <w:bookmarkEnd w:id="22"/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Содержание каждой процедуры (действия), входящей в состав процесса оказания государственной услуги, длительность его выполнения и результат процедуры (действия) по оказанию государственной услуги: </w:t>
      </w:r>
    </w:p>
    <w:bookmarkEnd w:id="23"/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прием, регистрация документов и направление руководителю услугодателя на резолюцию – 15 (пятнадцать) минут. Результат - направление руководителю услугодателя;</w:t>
      </w:r>
    </w:p>
    <w:bookmarkEnd w:id="24"/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документов и определение ответственного исполнителя услугодателя – 3 (три) часа. Результат - определение ответственного исполнителя услугодателя;</w:t>
      </w:r>
    </w:p>
    <w:bookmarkEnd w:id="25"/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рассмотрение документов, оформление результата оказания государственной услуги ответственным исполнителем услугодателя и направление на подпись руководителю услугодателя – 2 (два) рабочих дня. Результат - направление результата оказания государственной услуги на подпись руководителю услугодателя; </w:t>
      </w:r>
    </w:p>
    <w:bookmarkEnd w:id="26"/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результата оказания государственной услуги и направление ответственному исполнителю услугодателя – 4 (четыре) часа. Результат - направление результата оказания государственной услуги ответственному исполнителю услугодателя;</w:t>
      </w:r>
    </w:p>
    <w:bookmarkEnd w:id="27"/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результата оказания государственной услуги – 15 (пятнадцать) минут. Результат - выдача результата оказания государственной услуги.</w:t>
      </w:r>
    </w:p>
    <w:bookmarkEnd w:id="28"/>
    <w:bookmarkStart w:name="z41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9"/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Перечень структурных подразделений (работников) услугодателя, которые участвуют в процессе оказания государственной услуги: </w:t>
      </w:r>
    </w:p>
    <w:bookmarkEnd w:id="30"/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сотрудник канцелярии услугодателя; </w:t>
      </w:r>
    </w:p>
    <w:bookmarkEnd w:id="31"/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руководитель услугодателя; </w:t>
      </w:r>
    </w:p>
    <w:bookmarkEnd w:id="32"/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услугодателя. </w:t>
      </w:r>
    </w:p>
    <w:bookmarkEnd w:id="33"/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приведены в приложении настоящего регламента "Справочнике бизнес-процессов оказания государственной услуги". </w:t>
      </w:r>
    </w:p>
    <w:bookmarkEnd w:id="34"/>
    <w:bookmarkStart w:name="z47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35"/>
    <w:bookmarkStart w:name="z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порядка обращения и последовательности процедур (действий) услугодателя и услугополучателя при оказании государственных услуг через портал:</w:t>
      </w:r>
    </w:p>
    <w:bookmarkEnd w:id="36"/>
    <w:bookmarkStart w:name="z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регистрируется на портале, направляет запрос в форме электронного документа, подписанного электронной цифровой подписью;</w:t>
      </w:r>
    </w:p>
    <w:bookmarkEnd w:id="37"/>
    <w:bookmarkStart w:name="z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"личный кабинет" направляется статус о принятии запроса для оказания государственной услуги;</w:t>
      </w:r>
    </w:p>
    <w:bookmarkEnd w:id="38"/>
    <w:bookmarkStart w:name="z5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после принятия запроса, порядок действий структурных подразделений услугодателя в процессе оказания государственной услуги осуществляется в соответствии с пунктом 5 настоящего регламента. </w:t>
      </w:r>
    </w:p>
    <w:bookmarkEnd w:id="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государственной 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"Субсидирование стоимости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удобрений (за исключением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органических)"</w:t>
            </w:r>
          </w:p>
        </w:tc>
      </w:tr>
    </w:tbl>
    <w:bookmarkStart w:name="z57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40"/>
    <w:bookmarkStart w:name="z5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1"/>
    <w:p>
      <w:pPr>
        <w:spacing w:after="0"/>
        <w:ind w:left="0"/>
        <w:jc w:val="both"/>
      </w:pPr>
      <w:r>
        <w:drawing>
          <wp:inline distT="0" distB="0" distL="0" distR="0">
            <wp:extent cx="7810500" cy="386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6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