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5e9f5" w14:textId="8f5e9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Алматинской области от 19 октября 2018 года № 497 "Об утверждении регламента государственной услуги "Субсидирование повышения продуктивности и качества продукции аквакультуры (рыбоводства)"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28 июня 2019 года № 265. Зарегистрировано Департаментом юстиции Алматинской области 5 июля 2019 года № 5205. Утратило силу постановлением акимата Алматинской области от 19 марта 2020 года № 113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Алматинской области от 19.03.2020 </w:t>
      </w:r>
      <w:r>
        <w:rPr>
          <w:rFonts w:ascii="Times New Roman"/>
          <w:b w:val="false"/>
          <w:i w:val="false"/>
          <w:color w:val="ff0000"/>
          <w:sz w:val="28"/>
        </w:rPr>
        <w:t>№ 113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приказом Заместителя Премьер-Министра Республики Казахстан-Министра сельского хозяйства Республики Казахстан от 2 февраля 2018 года </w:t>
      </w:r>
      <w:r>
        <w:rPr>
          <w:rFonts w:ascii="Times New Roman"/>
          <w:b w:val="false"/>
          <w:i w:val="false"/>
          <w:color w:val="000000"/>
          <w:sz w:val="28"/>
        </w:rPr>
        <w:t>№ 63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стандарта государственной услуги "Субсидирование повышения продуктивности и качества продукции аквакультуры (рыбоводства)" (зарегистрирован в Реестре государственной регистрации нормативных правовых актов № 16693), акимат Алматинской области ПОСТАНОВЛЯЕТ: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Алматинской области "Об утверждении регламента государственной услуги "Субсидирование повышения продуктивности и качества продукции аквакультуры (рыбоводства)" от 19 октября 2018 года № 497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4868</w:t>
      </w:r>
      <w:r>
        <w:rPr>
          <w:rFonts w:ascii="Times New Roman"/>
          <w:b w:val="false"/>
          <w:i w:val="false"/>
          <w:color w:val="000000"/>
          <w:sz w:val="28"/>
        </w:rPr>
        <w:t>, опубликован 26 ноября 2018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регламент государственной услуги "Субсидирование повышения продуктивности и качества продукции аквакультуры (рыбоводства)",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Государственному учреждению "Управление сельского хозяйства Алматинской области" в установленном законодательством Республики Казахстан порядке обеспечить: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Алматинской области;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Алматинской области после его официального опубликования;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постановления представление в государственно-правовой отдел аппарата акима Алматинской области сведений об исполнении мероприятий, предусмотренных подпунктами 1), 2) и 3) настоящего пункта.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заместителя акима Алматинской области С. Бескемпирова.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акимата Алматинской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"__" _______ 2019 года № 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утвержденное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постановлением акимата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Алматинской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"19" октября 2018 года № 497</w:t>
            </w:r>
          </w:p>
        </w:tc>
      </w:tr>
    </w:tbl>
    <w:bookmarkStart w:name="z2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повышения продуктивности и качества продукции аквакультуры (рыбоводства)"</w:t>
      </w:r>
    </w:p>
    <w:bookmarkEnd w:id="10"/>
    <w:bookmarkStart w:name="z2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"Субсидирование повышения продуктивности и качества продукции аквакультуры (рыбоводства)" (далее - государственная услуга) оказывается бесплатно физическим и юридическим лицам (далее - услугополучатель) местным исполнительным органом области (далее – услугодатель).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на основании стандарта государственной услуги "Субсидирование повышения продуктивности и качества продукции аквакультуры (рыбоводства)", утвержденного приказом Заместителя Премьер-Министра Республики Казахстан - Министра сельского хозяйства Республики Казахстан от 2 февраля 2018 года </w:t>
      </w:r>
      <w:r>
        <w:rPr>
          <w:rFonts w:ascii="Times New Roman"/>
          <w:b w:val="false"/>
          <w:i w:val="false"/>
          <w:color w:val="000000"/>
          <w:sz w:val="28"/>
        </w:rPr>
        <w:t>№ 63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регистарции нормативных правовых актов № 16693) (далее –Стандарт). 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заявок и выдача результатов оказания государственной услуги осуществляются через веб-портал "электронного правительства" www.egov.kz (далее – портал).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автоматизированная).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уведомление о перечислении субсидии либо мотивированный отказ в предоставлении государственной услуги в случаях и по основаниям, предусмотренным пунктом 10 настоящего стандарта государственной услуги.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Услугополучателю направляется уведомление о результате оказания государственной услуги в форме электронного документа, согласно приложениям 1 и 2 Стандарта. Данное уведомление становится доступным в Личном кабинете услугополучателя в информационной системе субсидирования.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- электронная.</w:t>
      </w:r>
    </w:p>
    <w:bookmarkEnd w:id="18"/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обращение предоставление услугополучателя (либо его представителя по доверенности) с пакетом документов, согласно пункту 9 Стандарта.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прием, регистрация документов - 15 (пятнадцать) минут.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– определение ответственного исполнителя услугодателя; 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рассмотрение документов и определение ответственного исполнителя услугодателя - 2 (два) часа. 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- определение ответственного исполнителя услугодателя; 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оформление ответственным исполнителем услугодателя результата оказания государственной услуги и направление на подпись руководителю услугодателя - в течение 1 (один) рабочих дней. 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- направление результата оказания государственной услуги на подпись руководителю услугодателя; 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подписание результата оказания государственной услуги и направление ответственному исполнителю услугодателя – 2 (два) часа. 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- направление результата оказания государственной услуги ответственному исполнителю услугодателя; 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результата оказания государственной услуги услугополучателю - 15 (пятнадцати) минут.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- выдача результата оказания государственной услуги услугополучателю.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согласно пункту 16 Управление в соответствии с Планом финансирования формирует в информационной системе субсидирования платежные поручения на выплату субсидий, загружаемые в информационную систему "Казначейство-Клиент", в течение одного рабочего дня после подтверждения принятия заявки согласно пункту 14 настоящих Правилам "Об утверждении Правил субсидирования повышения продуктивности и качества продукции аквакультуры (рыбоводства)" утвержденных приказом Заместителя Премьер-Министра Республики Казахстан – Министра сельского хозяйства Республики Казахстан от 4 октября 2018 года </w:t>
      </w:r>
      <w:r>
        <w:rPr>
          <w:rFonts w:ascii="Times New Roman"/>
          <w:b w:val="false"/>
          <w:i w:val="false"/>
          <w:color w:val="000000"/>
          <w:sz w:val="28"/>
        </w:rPr>
        <w:t>№ 408</w:t>
      </w:r>
      <w:r>
        <w:rPr>
          <w:rFonts w:ascii="Times New Roman"/>
          <w:b w:val="false"/>
          <w:i w:val="false"/>
          <w:color w:val="000000"/>
          <w:sz w:val="28"/>
        </w:rPr>
        <w:t>. (зарегистрирован в Реестре государственной регистрации нормативных правовых актов № 17583);</w:t>
      </w:r>
    </w:p>
    <w:bookmarkEnd w:id="32"/>
    <w:bookmarkStart w:name="z47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услугодателяв процессе оказания государственной услуги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услугодателя. 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приведены в приложении настоящего регламента "Справочнике бизнес-процессов оказания государственной услуги".</w:t>
      </w:r>
    </w:p>
    <w:bookmarkEnd w:id="38"/>
    <w:bookmarkStart w:name="z53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использования информационных систем в процессе оказания государственной услуги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и последовательности процедур (действий) услугодателя и услугополучателя при оказании государственных услуг через портал: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регистрируется на портале, направляет запрос в форме электронного документа, удостоверенного ЭЦП;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"личный кабинет" услугополучателя направляется статус о принятии запроса, а также уведомление с указанием даты и времени получения результата государственной услуги;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после принятия запроса, порядок действий структурных подразделений услугодателя в процессе оказания государственной услуги осуществляется в соответствии с пунктом 5 настоящего регламента;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заявкам, в которых объем субсидий превышает объем бюджетных средств, предусмотренных в Плане финансирования на соответствующий месяц, выплата субсидий осуществляется в следующем месяце в порядке очередности с момента подачи заявки.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государственной 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"Субсидирование повышения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продуктивности и качества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продукции аквакультуры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(рыбоводства)"</w:t>
            </w:r>
          </w:p>
        </w:tc>
      </w:tr>
    </w:tbl>
    <w:bookmarkStart w:name="z65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45"/>
    <w:bookmarkStart w:name="z6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6"/>
    <w:p>
      <w:pPr>
        <w:spacing w:after="0"/>
        <w:ind w:left="0"/>
        <w:jc w:val="both"/>
      </w:pPr>
      <w:r>
        <w:drawing>
          <wp:inline distT="0" distB="0" distL="0" distR="0">
            <wp:extent cx="7048500" cy="802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048500" cy="802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