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fd8f" w14:textId="674f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Шалкарскому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9 января 2019 года № 9. Зарегистрировано Управлением юстиции Шалкарского района Департамента юстиции Актюбинской области 15 января 2019 года № 3-13-231.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организации независимо от организационно-правовой формы и формы собственности по Шалкарскому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Шалкарского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Шалкарского рай она.</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района А. Конакбаева.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