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decf" w14:textId="58dd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января 2019 года № 304. Зарегистрировано Управлением юстиции Шалкарского района Департамента юстиции Актюбинской области 10 января 2019 года № 3-13-225.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74380,8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- 783611,0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Шалкарского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городском бюджете на 2019 год объем субвенции из районного бюджета в сумме 80764,0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городском бюджете на 2019 год из республиканского бюджета поступление текущего целевого трансферта на реализацию государственного образовательного заказа в дошкольных организациях образования 9981,0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городском бюджете на 2019 год из республиканского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89211,0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государственных административных служащих – 1766,0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городском бюджете на 2019 год из областного бюджета поступление текущего целевого трансферта на реализацию государственного образовательного заказа в дошкольных организациях образования 10972,0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городском бюджете на 2019 год из областного бюджета поступление текущего целевого трансферта 3560,0 тысяч тенге на оснащение детских садов системой видеонаблюдения.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решением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в городском бюджете на 2019 год из районного бюджета поступление текущего целевого трансферта на реализацию государственного образовательного заказа в дошкольных организациях образования 277199,8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Утвердить в городском бюджете на 2019 год из районного бюджета поступление текущего целевого трансферта на средний ремонт автомобильных дорог улиц города Шалкар 234444,2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Шалкарского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городского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Шалкарского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