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cb93" w14:textId="050c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Хромтау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сентября 2019 года № 357. Зарегистрировано Департаментом юстиции Актюбинской области 7 октября 2019 года № 6403. Утратило силу решением Хромтауского районного маслихата Актюбинской области от 28 марта 2024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Хромтауского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отходов", зарегистрированного в Реестре государственной регистрации нормативных правовых актов № 14285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марта 2015 года № 77 "Об утверждении Правил расчета норм образования и накопления коммунальных отходов", зарегистрированного в Реестре государственной регистрации нормативных правовых актов № 4275,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Хромтау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утилизацию, переработку и захоронение твердых бытовых отходов по городу Хромтау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Хромтауского районного маслихата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от "30" сентября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Хромтау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кубический метр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 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сентября 2019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городу Хромтау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(без НДС)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вывоз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Утилизация, переработка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(1м³)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(1м³)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(1 тонна)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(1 тонна)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неблагоустроенные(на 1 жителя)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благоустроенные(на 1 жителя)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НДС – налог за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– кубический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