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ac35" w14:textId="b6aa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Мугалжарского района от 6 февраля 2019 года № 38 "Об установлении квоты рабочих мест для трудоустройства лиц, состоящих на учете службы пробации по Мугалжарскому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Мугалжарского районного акимата Актюбинской области от 31 мая 2019 года № 192. Зарегистрировано Департаментом юстиции Актюбинской области 5 июня 2019 года № 6233.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Мугалжарского района ПОСТАНОВЛЯЕТ:</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06 февраля 2019 года № 38 "Об установлении квоты рабочих мест для трудоустройства лиц, состоящих на учете службы пробации по Мугалжарскому району на 2019 год" (зарегистрированное в реестре государственной регистрации нормативных правовых актов № 3-9-240, опубликованное 15 февраля 2019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вышеуказанного постановления изложить в следущей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Мугалжарского района ПОСТАНОВЛЯЕТ:";</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на казахском языке слово "қызметкерлердің" заменить словом "жұмыскерлердің";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Start w:name="z2"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Мугалжарского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