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3f46" w14:textId="7393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Мартукскому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20 февраля 2019 года № 62. Зарегистрировано Управлением юстиции Мартукского района Департамента юстиции Актюбинской области 21 февраля 2019 года № 3-8-216.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2019 год.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1 внесено изменение на казахском языке, текст на русском языке не меняется постановлением акимата Мартукского района Актюбинской области от 20.05.2019 </w:t>
      </w:r>
      <w:r>
        <w:rPr>
          <w:rFonts w:ascii="Times New Roman"/>
          <w:b w:val="false"/>
          <w:i w:val="false"/>
          <w:color w:val="000000"/>
          <w:sz w:val="28"/>
        </w:rPr>
        <w:t>№ 196</w:t>
      </w:r>
      <w:r>
        <w:rPr>
          <w:rFonts w:ascii="Times New Roman"/>
          <w:b w:val="false"/>
          <w:i w:val="false"/>
          <w:color w:val="ff0000"/>
          <w:sz w:val="28"/>
        </w:rPr>
        <w:t xml:space="preserve"> (постановление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Мартукского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Мартукского района.</w:t>
      </w:r>
    </w:p>
    <w:bookmarkStart w:name="z5"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Еспаганбетова И.</w:t>
      </w:r>
    </w:p>
    <w:bookmarkEnd w:id="2"/>
    <w:bookmarkStart w:name="z6" w:id="3"/>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