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ac94" w14:textId="bcfa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мая 2015 года № 167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марта 2019 года № 94. Зарегистрировано Департаментом юстиции Актюбинской области 12 марта 2019 года № 5995.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167 "Об утверждении регламентов государственных услуг в сфере специального образования" (зарегистрированное в Реестре государственной регистрации нормативных правовых актов № 4367, опубликованное 29 июня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"Обследование и оказание психолого-медико-педагогической консультативной помощи детям с ограниченными возможностями",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работник канцелярии услугодателя в течение 15 (пятнадцати)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и направляет их на рассмотрение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работник канцелярии услугодателя в течение 15 (пятнадцати)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их на рассмотрение руководителю услугодателя. В случае предоставления услугополучателем неполного пакета документов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работник канцелярии услугодателя в течение 15 (пятнадцати)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и направляет их на рассмотрение руководителю услогодателя.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работник канцелярии услугодателя в течение 5 (пяти)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и направляет их на рассмотрение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Токжанова М.Л.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