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d70" w14:textId="1976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2019 года № 50-328. Зарегистрировано Департаментом юстиции Акмолинской области 15 января 2020 года № 7634.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12171,6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125449,8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–2752,5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13880,9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16394,6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2020–2022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2020 год предусмотрена субвенция, передаваемая из районного бюджета в сумме 215 909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бюджетах сельских округов, села и бюджете поселка на 2020 год предусмотрены целевые текущие трансферты, передаваемые из областного бюджета в сумме 5 250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