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697f" w14:textId="a5f6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2019 года № С 49-1. Зарегистрировано Департаментом юстиции Акмолинской области 20 января 2020 года № 7650.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6 591 857,9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5 996 507,2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7 743 858,5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94 071,6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122 587,3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122 587,3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- 1 368 659,5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1 368 659,5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объемы субвенций, передаваемых из районного бюджета бюджетам города районного значения, села, сельских округов в сумме 184 220,0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Акколь 80 693,0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Урюпинскому сельскому округу 11 507,0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16 367,0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Наумовскому сельскому округу 13 250,0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Карасайскому сельскому округу 13 394,0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Новорыбинскому сельскому округу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Енбекскому сельскому округу 13 036,0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Жалгызкарагайскому сельскому округу 12 548,0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11 909,0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2020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Аккольского районного маслихата Акмолинской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погашение долга местного исполнительного органа перед вышестоящим бюджетом в сумме 9 843,2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2020 год предусмотрена субвенция из областного бюджета в сумме 3 144 044,0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14 000,0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2020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Учесть, что в составе расходов районного бюджета на 2020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Аккольского районного маслихата Акмолинской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С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6 591 857,9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5 996 507,2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7 743 858,5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3 787 170,2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3 732 890,7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3 101 993,3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2 143 055,5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-1 368 659,5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3 610 736,0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3 610 736,0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3 662 771,0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2 426 188,0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1 410 953,1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903 302,1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715 710,8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450 559,8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168 036,8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района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1 545 424,1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и установку котлов для котельных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 для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дня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317 941,4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202 066,4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Аккольского районного маслихата Акмолинской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С 60-1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Аккольского районного маслихата Акмолинской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