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432a" w14:textId="10b4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19 января 2016 года № А-1/20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А-6/283. Зарегистрировано Департаментом юстиции Акмолинской области 1 июля 2019 года № 7264.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19 января 2016 года № А-1/20 (зарегистрировано в Реестре государственной регистрации нормативных правовых актов № 5256, опубликовано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 (далее - Стандарт), утвержденного приказом исполняющего обязанности Министра сельского хозяйства Республики Казахстан от 23 ноября 2015 года № 9-1/1018 (зарегистрирован в Реестре государственной регистрации нормативных правовых актов № 12523).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от заемщика на веб-портале в течение 2 рабочих дней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соответствия условий договора гарантирования/страхования требованиям к 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 автоматическое уведомление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получения заемщиком, гарантом/страховой организацией уведомления услугодателя о положительном решении по предложению между заемщиком, гарантом/страховой организацией и услугодателем в электронной форме на веб-портале заключается договор субсидирования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субсидирования заемщиком, гарантом/страховой организацией или услугодателем в течение 10 рабочих дней со дня принятия решения услугодателя, ранее принятое решение услугодателя отменяется.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гарант/страховая организация начиная формирует на веб-портале с использованием ЭЦП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о результате оказания государственной услуги в форме электронного документа на адрес электронной почты, указанный услугополучателем при регистрации в информационной системе субсидирования – 30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 регистрация предложения, проверка на соответствие, принятие решения,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уведомления.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и гарант/страховой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от заемщика на веб-портале в течение 2 рабочих дней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соответствия условий договора гарантирования/страхования требованиям к 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 автоматическое уведомление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получения заемщиком, гарантом/страховой организацией уведомления услугодателя о положительном решении по предложению между заемщиком, гарантом/страховой организацией и услугодателем в электронной форме на веб-портале заключается договор субсидирования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субсидирования заемщиком, гарантом/страховой организацией или услугодателем в течение 10 рабочих дней со дня принятия решения услугодателя, ранее принятое решение услугодателя отменяется.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гарант/страховая организация начиная формирует на веб-портале с использованием ЭЦП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о перечислении субсидии в "личный кабинет" услугополучателя в форме электронного документа – 30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предложение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