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1fab6" w14:textId="cf1fa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энергетики Республики Казахстан от 25 декабря 2015 года № 762 "Об утверждении Методики расчета платы за организацию сбора, транспортировки, переработки, обезвреживания, использования и (или) утилизации отходов"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экологии, геологии и природных ресурсов Республики Казахстан от 26 декабря 2019 года № 122. Зарегистрирован в Министерстве юстиции Республики Казахстан 5 января 2020 года № 19822. Утратил силу приказом и.о. Министра экологии, геологии и природных ресурсов Республики Казахстан от 2 ноября 2021 года № 448.</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и.о. Министра экологии, геологии и природных ресурсов РК от 02.11.2021 </w:t>
      </w:r>
      <w:r>
        <w:rPr>
          <w:rFonts w:ascii="Times New Roman"/>
          <w:b w:val="false"/>
          <w:i w:val="false"/>
          <w:color w:val="000000"/>
          <w:sz w:val="28"/>
        </w:rPr>
        <w:t>№ 448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ИЗПИ!</w:t>
      </w:r>
    </w:p>
    <w:p>
      <w:pPr>
        <w:spacing w:after="0"/>
        <w:ind w:left="0"/>
        <w:jc w:val="both"/>
      </w:pPr>
      <w:r>
        <w:rPr>
          <w:rFonts w:ascii="Times New Roman"/>
          <w:b/>
          <w:i w:val="false"/>
          <w:color w:val="000000"/>
          <w:sz w:val="28"/>
        </w:rPr>
        <w:t>Порядок вв</w:t>
      </w:r>
      <w:r>
        <w:rPr>
          <w:rFonts w:ascii="Times New Roman"/>
          <w:b/>
          <w:i w:val="false"/>
          <w:color w:val="000000"/>
          <w:sz w:val="28"/>
        </w:rPr>
        <w:t>е</w:t>
      </w:r>
      <w:r>
        <w:rPr>
          <w:rFonts w:ascii="Times New Roman"/>
          <w:b/>
          <w:i w:val="false"/>
          <w:color w:val="000000"/>
          <w:sz w:val="28"/>
        </w:rPr>
        <w:t xml:space="preserve">дения в действие настоящего приказа см. </w:t>
      </w:r>
      <w:r>
        <w:rPr>
          <w:rFonts w:ascii="Times New Roman"/>
          <w:b w:val="false"/>
          <w:i w:val="false"/>
          <w:color w:val="000000"/>
          <w:sz w:val="28"/>
        </w:rPr>
        <w:t>п. 4</w:t>
      </w:r>
      <w:r>
        <w:rPr>
          <w:rFonts w:ascii="Times New Roman"/>
          <w:b/>
          <w:i w:val="false"/>
          <w:color w:val="000000"/>
          <w:sz w:val="28"/>
        </w:rPr>
        <w:t>.</w:t>
      </w:r>
    </w:p>
    <w:bookmarkStart w:name="z5" w:id="1"/>
    <w:p>
      <w:pPr>
        <w:spacing w:after="0"/>
        <w:ind w:left="0"/>
        <w:jc w:val="both"/>
      </w:pPr>
      <w:r>
        <w:rPr>
          <w:rFonts w:ascii="Times New Roman"/>
          <w:b w:val="false"/>
          <w:i w:val="false"/>
          <w:color w:val="000000"/>
          <w:sz w:val="28"/>
        </w:rPr>
        <w:t>
      ПРИКАЗЫВАЮ:</w:t>
      </w:r>
    </w:p>
    <w:bookmarkEnd w:id="1"/>
    <w:bookmarkStart w:name="z6"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25 декабря 2015 года № 762 "Об утверждении Методики расчета платы за организацию сбора, транспортировки, переработки, обезвреживания, использования и (или) утилизации отходов" (зарегистрирован в Реестре государственной регистрации нормативных правовых актов за № 12753, опубликован 19 января 2016 года в информационно-правовой системе "Әділет") следующие изменения и дополнение:</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расчета платы за организацию сбора, транспортировки, переработки, обезвреживания, использования и (или) утилизации отходов, утвержденной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"5. Расчет платы (Спродукция) за организацию сбора, транспортировки, переработки, обезвреживания, использования и (или) утилизации отходов для каждого вида производимой (импортируемой) продукции (товаров), рассчитывается по следующей формуле:</w:t>
      </w:r>
    </w:p>
    <w:bookmarkEnd w:id="4"/>
    <w:bookmarkStart w:name="z11" w:id="5"/>
    <w:p>
      <w:pPr>
        <w:spacing w:after="0"/>
        <w:ind w:left="0"/>
        <w:jc w:val="both"/>
      </w:pPr>
      <w:r>
        <w:rPr>
          <w:rFonts w:ascii="Times New Roman"/>
          <w:b w:val="false"/>
          <w:i w:val="false"/>
          <w:color w:val="000000"/>
          <w:sz w:val="28"/>
        </w:rPr>
        <w:t xml:space="preserve">
      </w:t>
      </w:r>
    </w:p>
    <w:bookmarkEnd w:id="5"/>
    <w:p>
      <w:pPr>
        <w:spacing w:after="0"/>
        <w:ind w:left="0"/>
        <w:jc w:val="both"/>
      </w:pPr>
      <w:r>
        <w:drawing>
          <wp:inline distT="0" distB="0" distL="0" distR="0">
            <wp:extent cx="2959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591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где:</w:t>
      </w:r>
    </w:p>
    <w:bookmarkEnd w:id="6"/>
    <w:bookmarkStart w:name="z13" w:id="7"/>
    <w:p>
      <w:pPr>
        <w:spacing w:after="0"/>
        <w:ind w:left="0"/>
        <w:jc w:val="both"/>
      </w:pPr>
      <w:r>
        <w:rPr>
          <w:rFonts w:ascii="Times New Roman"/>
          <w:b w:val="false"/>
          <w:i w:val="false"/>
          <w:color w:val="000000"/>
          <w:sz w:val="28"/>
        </w:rPr>
        <w:t>
      Спродукция – плата за организацию сбора, транспортировки, переработки, обезвреживания, использования и (или) утилизации отходов каждого вида производимой (импортируемой) продукции (товаров), подлежащая оплате производителями (импортерами);</w:t>
      </w:r>
    </w:p>
    <w:bookmarkEnd w:id="7"/>
    <w:bookmarkStart w:name="z14" w:id="8"/>
    <w:p>
      <w:pPr>
        <w:spacing w:after="0"/>
        <w:ind w:left="0"/>
        <w:jc w:val="both"/>
      </w:pPr>
      <w:r>
        <w:rPr>
          <w:rFonts w:ascii="Times New Roman"/>
          <w:b w:val="false"/>
          <w:i w:val="false"/>
          <w:color w:val="000000"/>
          <w:sz w:val="28"/>
        </w:rPr>
        <w:t>
      m – масса производимой (импортируемой) продукции (товаров) (в тоннах);</w:t>
      </w:r>
    </w:p>
    <w:bookmarkEnd w:id="8"/>
    <w:bookmarkStart w:name="z15" w:id="9"/>
    <w:p>
      <w:pPr>
        <w:spacing w:after="0"/>
        <w:ind w:left="0"/>
        <w:jc w:val="both"/>
      </w:pPr>
      <w:r>
        <w:rPr>
          <w:rFonts w:ascii="Times New Roman"/>
          <w:b w:val="false"/>
          <w:i w:val="false"/>
          <w:color w:val="000000"/>
          <w:sz w:val="28"/>
        </w:rPr>
        <w:t>
      CМРП – сумма одного месячного расчетного показателя;</w:t>
      </w:r>
    </w:p>
    <w:bookmarkEnd w:id="9"/>
    <w:bookmarkStart w:name="z16" w:id="10"/>
    <w:p>
      <w:pPr>
        <w:spacing w:after="0"/>
        <w:ind w:left="0"/>
        <w:jc w:val="both"/>
      </w:pPr>
      <w:r>
        <w:rPr>
          <w:rFonts w:ascii="Times New Roman"/>
          <w:b w:val="false"/>
          <w:i w:val="false"/>
          <w:color w:val="000000"/>
          <w:sz w:val="28"/>
        </w:rPr>
        <w:t>
      k – коэффициент, определяемый согласно приложению 1 к настоящей Методике.";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"8. Плата в отношении автотранспортных средств уплачивается Оператору по базовым ставкам и коэффициентам согласно приложению 2 к настоящей Методике, однократно за каждое автотранспортное средство.";</w:t>
      </w:r>
    </w:p>
    <w:bookmarkEnd w:id="11"/>
    <w:bookmarkStart w:name="z19" w:id="12"/>
    <w:p>
      <w:pPr>
        <w:spacing w:after="0"/>
        <w:ind w:left="0"/>
        <w:jc w:val="both"/>
      </w:pPr>
      <w:r>
        <w:rPr>
          <w:rFonts w:ascii="Times New Roman"/>
          <w:b w:val="false"/>
          <w:i w:val="false"/>
          <w:color w:val="000000"/>
          <w:sz w:val="28"/>
        </w:rPr>
        <w:t>
      главу 3 исключить;</w:t>
      </w:r>
    </w:p>
    <w:bookmarkEnd w:id="12"/>
    <w:bookmarkStart w:name="z20"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указанной Методике:</w:t>
      </w:r>
    </w:p>
    <w:bookmarkEnd w:id="13"/>
    <w:bookmarkStart w:name="z21" w:id="14"/>
    <w:p>
      <w:pPr>
        <w:spacing w:after="0"/>
        <w:ind w:left="0"/>
        <w:jc w:val="both"/>
      </w:pPr>
      <w:r>
        <w:rPr>
          <w:rFonts w:ascii="Times New Roman"/>
          <w:b w:val="false"/>
          <w:i w:val="false"/>
          <w:color w:val="000000"/>
          <w:sz w:val="28"/>
        </w:rPr>
        <w:t>
      текст в правом верхнем углу изложить в следующей редакции:</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Приложение 2</w:t>
            </w:r>
            <w:r>
              <w:br/>
            </w:r>
            <w:r>
              <w:rPr>
                <w:rFonts w:ascii="Times New Roman"/>
                <w:b w:val="false"/>
                <w:i w:val="false"/>
                <w:color w:val="000000"/>
                <w:sz w:val="20"/>
              </w:rPr>
              <w:t>к Методике расчета платы за</w:t>
            </w:r>
            <w:r>
              <w:br/>
            </w:r>
            <w:r>
              <w:rPr>
                <w:rFonts w:ascii="Times New Roman"/>
                <w:b w:val="false"/>
                <w:i w:val="false"/>
                <w:color w:val="000000"/>
                <w:sz w:val="20"/>
              </w:rPr>
              <w:t>организацию сбора,</w:t>
            </w:r>
            <w:r>
              <w:br/>
            </w:r>
            <w:r>
              <w:rPr>
                <w:rFonts w:ascii="Times New Roman"/>
                <w:b w:val="false"/>
                <w:i w:val="false"/>
                <w:color w:val="000000"/>
                <w:sz w:val="20"/>
              </w:rPr>
              <w:t>транспортировки, переработки,</w:t>
            </w:r>
            <w:r>
              <w:br/>
            </w:r>
            <w:r>
              <w:rPr>
                <w:rFonts w:ascii="Times New Roman"/>
                <w:b w:val="false"/>
                <w:i w:val="false"/>
                <w:color w:val="000000"/>
                <w:sz w:val="20"/>
              </w:rPr>
              <w:t>обезвреживания, использования</w:t>
            </w:r>
            <w:r>
              <w:br/>
            </w:r>
            <w:r>
              <w:rPr>
                <w:rFonts w:ascii="Times New Roman"/>
                <w:b w:val="false"/>
                <w:i w:val="false"/>
                <w:color w:val="000000"/>
                <w:sz w:val="20"/>
              </w:rPr>
              <w:t>и (или) утилизации отходов";</w:t>
            </w:r>
          </w:p>
        </w:tc>
      </w:tr>
    </w:tbl>
    <w:bookmarkStart w:name="z23" w:id="15"/>
    <w:p>
      <w:pPr>
        <w:spacing w:after="0"/>
        <w:ind w:left="0"/>
        <w:jc w:val="both"/>
      </w:pPr>
      <w:r>
        <w:rPr>
          <w:rFonts w:ascii="Times New Roman"/>
          <w:b w:val="false"/>
          <w:i w:val="false"/>
          <w:color w:val="000000"/>
          <w:sz w:val="28"/>
        </w:rPr>
        <w:t xml:space="preserve">
      дополнить приложением 1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5"/>
    <w:bookmarkStart w:name="z24" w:id="16"/>
    <w:p>
      <w:pPr>
        <w:spacing w:after="0"/>
        <w:ind w:left="0"/>
        <w:jc w:val="both"/>
      </w:pPr>
      <w:r>
        <w:rPr>
          <w:rFonts w:ascii="Times New Roman"/>
          <w:b w:val="false"/>
          <w:i w:val="false"/>
          <w:color w:val="000000"/>
          <w:sz w:val="28"/>
        </w:rPr>
        <w:t>
      2. Департаменту государственной политики управления отходами Министерства экологии, геологии и природных ресурсов Республики Казахстан в установленном законодательством Республики Казахстан порядке обеспечить:</w:t>
      </w:r>
    </w:p>
    <w:bookmarkEnd w:id="16"/>
    <w:bookmarkStart w:name="z25" w:id="1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7"/>
    <w:bookmarkStart w:name="z26" w:id="18"/>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18"/>
    <w:bookmarkStart w:name="z27" w:id="1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19"/>
    <w:bookmarkStart w:name="z28" w:id="20"/>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экологии, геологии и природных ресурсов Республики Казахстан. </w:t>
      </w:r>
    </w:p>
    <w:bookmarkEnd w:id="20"/>
    <w:bookmarkStart w:name="z29" w:id="21"/>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абзаца четырнадцатого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и строк, порядковые номера 5 – 23 </w:t>
      </w:r>
      <w:r>
        <w:rPr>
          <w:rFonts w:ascii="Times New Roman"/>
          <w:b w:val="false"/>
          <w:i w:val="false"/>
          <w:color w:val="000000"/>
          <w:sz w:val="28"/>
        </w:rPr>
        <w:t>приложения</w:t>
      </w:r>
      <w:r>
        <w:rPr>
          <w:rFonts w:ascii="Times New Roman"/>
          <w:b w:val="false"/>
          <w:i w:val="false"/>
          <w:color w:val="000000"/>
          <w:sz w:val="28"/>
        </w:rPr>
        <w:t xml:space="preserve"> к настоящему приказу, которые вводятся в действие с 1 января 2020 года.</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Министра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bookmarkStart w:name="z31" w:id="22"/>
      <w:r>
        <w:rPr>
          <w:rFonts w:ascii="Times New Roman"/>
          <w:b w:val="false"/>
          <w:i w:val="false"/>
          <w:color w:val="000000"/>
          <w:sz w:val="28"/>
        </w:rPr>
        <w:t>
      "СОГЛАСОВАН"</w:t>
      </w:r>
    </w:p>
    <w:bookmarkEnd w:id="22"/>
    <w:p>
      <w:pPr>
        <w:spacing w:after="0"/>
        <w:ind w:left="0"/>
        <w:jc w:val="both"/>
      </w:pPr>
      <w:r>
        <w:rPr>
          <w:rFonts w:ascii="Times New Roman"/>
          <w:b w:val="false"/>
          <w:i w:val="false"/>
          <w:color w:val="000000"/>
          <w:sz w:val="28"/>
        </w:rPr>
        <w:t>Министерство индустрии и</w:t>
      </w:r>
    </w:p>
    <w:p>
      <w:pPr>
        <w:spacing w:after="0"/>
        <w:ind w:left="0"/>
        <w:jc w:val="both"/>
      </w:pPr>
      <w:r>
        <w:rPr>
          <w:rFonts w:ascii="Times New Roman"/>
          <w:b w:val="false"/>
          <w:i w:val="false"/>
          <w:color w:val="000000"/>
          <w:sz w:val="28"/>
        </w:rPr>
        <w:t>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2" w:id="23"/>
      <w:r>
        <w:rPr>
          <w:rFonts w:ascii="Times New Roman"/>
          <w:b w:val="false"/>
          <w:i w:val="false"/>
          <w:color w:val="000000"/>
          <w:sz w:val="28"/>
        </w:rPr>
        <w:t>
      "СОГЛАСОВАН"</w:t>
      </w:r>
    </w:p>
    <w:bookmarkEnd w:id="23"/>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экологии,</w:t>
            </w:r>
            <w:r>
              <w:br/>
            </w:r>
            <w:r>
              <w:rPr>
                <w:rFonts w:ascii="Times New Roman"/>
                <w:b w:val="false"/>
                <w:i w:val="false"/>
                <w:color w:val="000000"/>
                <w:sz w:val="20"/>
              </w:rPr>
              <w:t>геологии и природных ресурсов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26 декабря 2019 года № 122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расчета платы за</w:t>
            </w:r>
            <w:r>
              <w:br/>
            </w:r>
            <w:r>
              <w:rPr>
                <w:rFonts w:ascii="Times New Roman"/>
                <w:b w:val="false"/>
                <w:i w:val="false"/>
                <w:color w:val="000000"/>
                <w:sz w:val="20"/>
              </w:rPr>
              <w:t>организацию сбора,</w:t>
            </w:r>
            <w:r>
              <w:br/>
            </w:r>
            <w:r>
              <w:rPr>
                <w:rFonts w:ascii="Times New Roman"/>
                <w:b w:val="false"/>
                <w:i w:val="false"/>
                <w:color w:val="000000"/>
                <w:sz w:val="20"/>
              </w:rPr>
              <w:t>транспортировки, переработки,</w:t>
            </w:r>
            <w:r>
              <w:br/>
            </w:r>
            <w:r>
              <w:rPr>
                <w:rFonts w:ascii="Times New Roman"/>
                <w:b w:val="false"/>
                <w:i w:val="false"/>
                <w:color w:val="000000"/>
                <w:sz w:val="20"/>
              </w:rPr>
              <w:t>обезвреживания, использования</w:t>
            </w:r>
            <w:r>
              <w:br/>
            </w:r>
            <w:r>
              <w:rPr>
                <w:rFonts w:ascii="Times New Roman"/>
                <w:b w:val="false"/>
                <w:i w:val="false"/>
                <w:color w:val="000000"/>
                <w:sz w:val="20"/>
              </w:rPr>
              <w:t>и (или) утилизации отходов</w:t>
            </w:r>
          </w:p>
        </w:tc>
      </w:tr>
    </w:tbl>
    <w:bookmarkStart w:name="z36" w:id="24"/>
    <w:p>
      <w:pPr>
        <w:spacing w:after="0"/>
        <w:ind w:left="0"/>
        <w:jc w:val="left"/>
      </w:pPr>
      <w:r>
        <w:rPr>
          <w:rFonts w:ascii="Times New Roman"/>
          <w:b/>
          <w:i w:val="false"/>
          <w:color w:val="000000"/>
        </w:rPr>
        <w:t xml:space="preserve"> Коэффициенты Платы за продукцию (товары), на производителей (импортеров) которых распространяются расширенные обязательства производителей (импортеров)</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2143"/>
        <w:gridCol w:w="8068"/>
        <w:gridCol w:w="1288"/>
      </w:tblGrid>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 (товара)</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Перечня*</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k</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2. Каучук, резина и изделия из них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электрические</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3. Аккумуляторы электрические, включая сепараторы для них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смазочные, светлые, вазелиновые масла и масла для шестерен, редукторов и гидравлических целей</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4. Нефть и нефтепродукты (кроме сырых), полученные из битуминозных пород, и продукты, в другом месте не поименованные или не включенные, содержащие 70 массовых процентов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жидкости тормозные, гидравлические, антифризы и жидкости антиобледенительные</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5. Прочие химические продукты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и картонная упаковки, изделия из бумаги и картона</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6. Полимерная, стеклянная, бумажная, картонная, металлическая упаковки, упаковка из комбинированных материалов</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из стекла</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6. Полимерная, стеклянная, бумажная, картонная, металлическая упаковки, упаковка из комбинированных материалов</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из полимерных материалов</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6. Полимерная, стеклянная, бумажная, картонная, металлическая упаковки, упаковка из комбинированных материалов</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из металла</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6. Полимерная, стеклянная, бумажная, картонная, металлическая упаковки, упаковка из комбинированных материалов</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из комбинированных материалов</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6. Полимерная, стеклянная, бумажная, картонная, металлическая упаковки, упаковка из комбинированных материалов</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пластмасс</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7. Посуда столовая и кухонная, приборы столовые и кухонные принадлежности, прочие предметы домашнего обихода и предметы гигиены или туалета, из пластмасс</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Печатные книги, газеты, и другие изделия полиграфической промышленности</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8. Газеты, журналы и прочие периодические издания, иллюстрированные или неиллюстрированные, содержащие или не содержащие рекламный материал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9. Бумага и картон ручного отлива, немелованные, используемые для письма, печати или других графических целей</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Батареи и батарейки</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10. Первичные элементы и первичные батареи</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Лампы </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11. Лампы накаливания электрические или газоразрядные, включая лампы герметичные направленного света, а также ультрафиолетовые или инфракрасные лампы; дуговые лампы, ртутьсодержащие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Термометры </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12. Термометры медицинские или ветеринарные, ртутьсодержащие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Электрическое и электронное оборудование</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13. Крупногабаритное электрическое и электронное оборудование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Электрическое и электронное оборудование</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14. Среднегабаритное электрическое и электронное оборудование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Электрическое и электронное оборудование</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15. Мелкогабаритное электрическое и электронное оборудование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и картонная упаковки</w:t>
            </w:r>
          </w:p>
        </w:tc>
        <w:tc>
          <w:tcPr>
            <w:tcW w:w="8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16. Продукция (товары) в упаковке (полимерная, стеклянная, бумажная, картонная, металлическая и (или) из комбинированных материалов), на упаковку которой распространяются расширенные обязательства производителей (импортеров)</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из стекла</w:t>
            </w: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из полимерных материалов</w:t>
            </w: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из металла</w:t>
            </w: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из комбинированных материалов</w:t>
            </w: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bl>
    <w:bookmarkStart w:name="z37" w:id="25"/>
    <w:p>
      <w:pPr>
        <w:spacing w:after="0"/>
        <w:ind w:left="0"/>
        <w:jc w:val="both"/>
      </w:pPr>
      <w:r>
        <w:rPr>
          <w:rFonts w:ascii="Times New Roman"/>
          <w:b w:val="false"/>
          <w:i w:val="false"/>
          <w:color w:val="000000"/>
          <w:sz w:val="28"/>
        </w:rPr>
        <w:t>
      *Примечание: Перечень продукции (товаров), на которую (которые) распространяются расширенные обязательства производителей (импортеров), утверждаемый в соответствии с Экологическим кодексом Республики Казахстан.</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