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7e9f" w14:textId="8787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объемов специальной квоты между участниками внешнеторговой деятельности на ввоз горячекатаного проката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13 декабря 2019 года № 135. Зарегистрирован в Министерстве юстиции Республики Казахстан 19 декабря 2019 года № 19740. Срок действия приказа - до 30 ноября 2020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Срок действия приказа -  до 30 ноября 2020 года.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10 Закона Республики Казахстан от 8 июня 2005 года "О специальных защитных, антидемпинговых и компенсационных мерах по отношению к третьим странам" и пунктом 3 решения Коллегии Евразийской экономической комиссии № 137 от 6 августа 2019 года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объемов специальной квоты между участниками внешнеторговой деятельности на ввоз горячекатаного проката.</w:t>
      </w:r>
    </w:p>
    <w:bookmarkEnd w:id="1"/>
    <w:bookmarkStart w:name="z7" w:id="2"/>
    <w:p>
      <w:pPr>
        <w:spacing w:after="0"/>
        <w:ind w:left="0"/>
        <w:jc w:val="both"/>
      </w:pPr>
      <w:r>
        <w:rPr>
          <w:rFonts w:ascii="Times New Roman"/>
          <w:b w:val="false"/>
          <w:i w:val="false"/>
          <w:color w:val="000000"/>
          <w:sz w:val="28"/>
        </w:rPr>
        <w:t>
      2. Департаменту внешнеторговой деятельности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торговли и интеграции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действует до 30 ноября 2020 года.</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w:t>
            </w:r>
            <w:r>
              <w:br/>
            </w:r>
            <w:r>
              <w:rPr>
                <w:rFonts w:ascii="Times New Roman"/>
                <w:b w:val="false"/>
                <w:i/>
                <w:color w:val="000000"/>
                <w:sz w:val="20"/>
              </w:rPr>
              <w:t>интеграции 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Сұлтанов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индустрии </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w:t>
      </w:r>
    </w:p>
    <w:bookmarkEnd w:id="7"/>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 xml:space="preserve">Министра торговли </w:t>
            </w:r>
            <w:r>
              <w:br/>
            </w:r>
            <w:r>
              <w:rPr>
                <w:rFonts w:ascii="Times New Roman"/>
                <w:b w:val="false"/>
                <w:i w:val="false"/>
                <w:color w:val="000000"/>
                <w:sz w:val="20"/>
              </w:rPr>
              <w:t xml:space="preserve">и интеграции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135</w:t>
            </w:r>
          </w:p>
        </w:tc>
      </w:tr>
    </w:tbl>
    <w:bookmarkStart w:name="z17" w:id="9"/>
    <w:p>
      <w:pPr>
        <w:spacing w:after="0"/>
        <w:ind w:left="0"/>
        <w:jc w:val="left"/>
      </w:pPr>
      <w:r>
        <w:rPr>
          <w:rFonts w:ascii="Times New Roman"/>
          <w:b/>
          <w:i w:val="false"/>
          <w:color w:val="000000"/>
        </w:rPr>
        <w:t xml:space="preserve"> Правила распределения объемов специальной квоты между участниками внешнеторговой деятельности на ввоз горячекатаного проката</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распределения объемов специальной квоты между участниками внешнеторговой деятельности на ввоз горячекатаного проката (далее – Правила) разработаны в соответствии с подпунктом 5)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10 Закона Республики Казахстан от 8 июня 2005 года  "О специальных защитных, антидемпинговых и компенсационных мерах по отношению к третьим странам" и пунктом 3 решения Коллегии Евразийской экономической комиссии от 6 августа 2019 года № 137 и определяют порядок распределения объемов специальной квоты между участниками внешнеторговой деятельности на ввоз горячекатаного проката.</w:t>
      </w:r>
    </w:p>
    <w:bookmarkEnd w:id="11"/>
    <w:bookmarkStart w:name="z20" w:id="12"/>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2"/>
    <w:bookmarkStart w:name="z21" w:id="13"/>
    <w:p>
      <w:pPr>
        <w:spacing w:after="0"/>
        <w:ind w:left="0"/>
        <w:jc w:val="both"/>
      </w:pPr>
      <w:r>
        <w:rPr>
          <w:rFonts w:ascii="Times New Roman"/>
          <w:b w:val="false"/>
          <w:i w:val="false"/>
          <w:color w:val="000000"/>
          <w:sz w:val="28"/>
        </w:rPr>
        <w:t xml:space="preserve">
      1) объем специальной квоты – разрешенное для ввоза в Республику Казахстан количество товара в натуральном выражении, установленное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августа 2019 года № 137;</w:t>
      </w:r>
    </w:p>
    <w:bookmarkEnd w:id="13"/>
    <w:bookmarkStart w:name="z22" w:id="14"/>
    <w:p>
      <w:pPr>
        <w:spacing w:after="0"/>
        <w:ind w:left="0"/>
        <w:jc w:val="both"/>
      </w:pPr>
      <w:r>
        <w:rPr>
          <w:rFonts w:ascii="Times New Roman"/>
          <w:b w:val="false"/>
          <w:i w:val="false"/>
          <w:color w:val="000000"/>
          <w:sz w:val="28"/>
        </w:rPr>
        <w:t>
      2)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14"/>
    <w:bookmarkStart w:name="z23" w:id="15"/>
    <w:p>
      <w:pPr>
        <w:spacing w:after="0"/>
        <w:ind w:left="0"/>
        <w:jc w:val="both"/>
      </w:pPr>
      <w:r>
        <w:rPr>
          <w:rFonts w:ascii="Times New Roman"/>
          <w:b w:val="false"/>
          <w:i w:val="false"/>
          <w:color w:val="000000"/>
          <w:sz w:val="28"/>
        </w:rPr>
        <w:t>
      3) товар – горячекатаный прокат из углеродистых и легированных сталей в листах и рулонах, классифицируемый кодами Товарной номенклатуры внешнеэкономической деятельности Евразийского экономического союза (далее – ТН ВЭД ЕАЭС) 7208 10 000 0, 7208 25 000 0, 7208 26 000 0, 7208 27 000 0, 7208 36 000 0, 7208 37 000 0, 7208 38 000 0, 7208 39 000 0, 7208 40 000 0, 7208 51 200 1, 7208 51 200 9, 7208 51 910 0, 7208 51 980 0, 7208 52 100 0, 7208 52 910 0, 7208 52 990 0, 7208 53 100 0, 7208 53 900 0, 7208 54 000 0, 7208 90 200 0, 7208 90 800 0, 7211 13 000 0, 7211 14 000 0, 7211 19 000 0, 7225 30 100 0, 7225 30 300 0, 7225 30 900 0, 7225 40 120 1, 7225 40 120 9, 7225 40 150 1, 7225 40 150 9, 7225 40 400 0, 7225 40 600 0, 7225 40 900 0, 7226 91 200 0, 7226 91 910 0 и 7226 91 990 0;</w:t>
      </w:r>
    </w:p>
    <w:bookmarkEnd w:id="15"/>
    <w:bookmarkStart w:name="z24" w:id="16"/>
    <w:p>
      <w:pPr>
        <w:spacing w:after="0"/>
        <w:ind w:left="0"/>
        <w:jc w:val="both"/>
      </w:pPr>
      <w:r>
        <w:rPr>
          <w:rFonts w:ascii="Times New Roman"/>
          <w:b w:val="false"/>
          <w:i w:val="false"/>
          <w:color w:val="000000"/>
          <w:sz w:val="28"/>
        </w:rPr>
        <w:t>
      4)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16"/>
    <w:bookmarkStart w:name="z25" w:id="17"/>
    <w:p>
      <w:pPr>
        <w:spacing w:after="0"/>
        <w:ind w:left="0"/>
        <w:jc w:val="left"/>
      </w:pPr>
      <w:r>
        <w:rPr>
          <w:rFonts w:ascii="Times New Roman"/>
          <w:b/>
          <w:i w:val="false"/>
          <w:color w:val="000000"/>
        </w:rPr>
        <w:t xml:space="preserve"> Глава 2. Порядок распределения объемов специальной квоты между участниками внешнеторговой деятельности на ввоз горячекатаного проката</w:t>
      </w:r>
    </w:p>
    <w:bookmarkEnd w:id="17"/>
    <w:bookmarkStart w:name="z26" w:id="18"/>
    <w:p>
      <w:pPr>
        <w:spacing w:after="0"/>
        <w:ind w:left="0"/>
        <w:jc w:val="both"/>
      </w:pPr>
      <w:r>
        <w:rPr>
          <w:rFonts w:ascii="Times New Roman"/>
          <w:b w:val="false"/>
          <w:i w:val="false"/>
          <w:color w:val="000000"/>
          <w:sz w:val="28"/>
        </w:rPr>
        <w:t>
      3. Объемы специальной квоты на ввоз товара распределяются между участниками внешнеторговой деятельности в два периода.</w:t>
      </w:r>
    </w:p>
    <w:bookmarkEnd w:id="18"/>
    <w:bookmarkStart w:name="z27" w:id="19"/>
    <w:p>
      <w:pPr>
        <w:spacing w:after="0"/>
        <w:ind w:left="0"/>
        <w:jc w:val="both"/>
      </w:pPr>
      <w:r>
        <w:rPr>
          <w:rFonts w:ascii="Times New Roman"/>
          <w:b w:val="false"/>
          <w:i w:val="false"/>
          <w:color w:val="000000"/>
          <w:sz w:val="28"/>
        </w:rPr>
        <w:t>
      Первый период с 1 по 31 декабря 2019 года, второй период с 1 января по 30 ноября 2020 года в объемах согласно приложению к настоящим Правилам.</w:t>
      </w:r>
    </w:p>
    <w:bookmarkEnd w:id="19"/>
    <w:bookmarkStart w:name="z28" w:id="20"/>
    <w:p>
      <w:pPr>
        <w:spacing w:after="0"/>
        <w:ind w:left="0"/>
        <w:jc w:val="both"/>
      </w:pPr>
      <w:r>
        <w:rPr>
          <w:rFonts w:ascii="Times New Roman"/>
          <w:b w:val="false"/>
          <w:i w:val="false"/>
          <w:color w:val="000000"/>
          <w:sz w:val="28"/>
        </w:rPr>
        <w:t>
      4. Участники внешнеторговой деятельности для получения специальной квоты на ввоз товара подают заявление на получение лицензии на импорт товаров в соответствии со стандартом государственной услуги "Выдача лицензии на импорт и (или) экспорт отдельных видов товаров", утвержденной приказом Министра национальной экономики Республики Казахстан от 21 апреля 2015 года № 347 "Об утверждении стандартов государственных услуг, оказываемых Министерством национальной экономики Республики Казахстан" и в сроки, указанные в пункте 3 настоящих Правил.</w:t>
      </w:r>
    </w:p>
    <w:bookmarkEnd w:id="20"/>
    <w:bookmarkStart w:name="z29" w:id="21"/>
    <w:p>
      <w:pPr>
        <w:spacing w:after="0"/>
        <w:ind w:left="0"/>
        <w:jc w:val="both"/>
      </w:pPr>
      <w:r>
        <w:rPr>
          <w:rFonts w:ascii="Times New Roman"/>
          <w:b w:val="false"/>
          <w:i w:val="false"/>
          <w:color w:val="000000"/>
          <w:sz w:val="28"/>
        </w:rPr>
        <w:t>
      5. Уполномоченный орган:</w:t>
      </w:r>
    </w:p>
    <w:bookmarkEnd w:id="21"/>
    <w:bookmarkStart w:name="z30" w:id="22"/>
    <w:p>
      <w:pPr>
        <w:spacing w:after="0"/>
        <w:ind w:left="0"/>
        <w:jc w:val="both"/>
      </w:pPr>
      <w:r>
        <w:rPr>
          <w:rFonts w:ascii="Times New Roman"/>
          <w:b w:val="false"/>
          <w:i w:val="false"/>
          <w:color w:val="000000"/>
          <w:sz w:val="28"/>
        </w:rPr>
        <w:t>
      1) до 25 ноября 2019 года размещает на интернет-ресурсе trade.gov.kz (далее – интернет-ресурс) информацию об объемах специальной квоты на ввоз товара и сроках ее действия;</w:t>
      </w:r>
    </w:p>
    <w:bookmarkEnd w:id="22"/>
    <w:bookmarkStart w:name="z31" w:id="23"/>
    <w:p>
      <w:pPr>
        <w:spacing w:after="0"/>
        <w:ind w:left="0"/>
        <w:jc w:val="both"/>
      </w:pPr>
      <w:r>
        <w:rPr>
          <w:rFonts w:ascii="Times New Roman"/>
          <w:b w:val="false"/>
          <w:i w:val="false"/>
          <w:color w:val="000000"/>
          <w:sz w:val="28"/>
        </w:rPr>
        <w:t>
      2) ежемесячно, начиная с 30 декабря 2019 года, в каждый последний рабочий день месяца в течение периода действия специальной квоты публикует на интернет-ресурсе сведения об объемах специальной квоты на ввоз товара, по которым выданы лицензии на импорт товара, и объемах специальной квоты на ввоз товара, оставшегося нераспределенным, до исчерпания объема специальной квоты на ввоз товара.</w:t>
      </w:r>
    </w:p>
    <w:bookmarkEnd w:id="23"/>
    <w:bookmarkStart w:name="z32" w:id="24"/>
    <w:p>
      <w:pPr>
        <w:spacing w:after="0"/>
        <w:ind w:left="0"/>
        <w:jc w:val="both"/>
      </w:pPr>
      <w:r>
        <w:rPr>
          <w:rFonts w:ascii="Times New Roman"/>
          <w:b w:val="false"/>
          <w:i w:val="false"/>
          <w:color w:val="000000"/>
          <w:sz w:val="28"/>
        </w:rPr>
        <w:t xml:space="preserve">
      6. Для каждого участника внешнеторговой деятельности лицензии на импорт товаров выдаются в объеме, не превышающем пятнадцати процентов от объема специальной квоты на ввоз товара, предусмотренного на соответствующий период, до исчерпания объемов специальной квоты на ввоз товара. </w:t>
      </w:r>
    </w:p>
    <w:bookmarkEnd w:id="24"/>
    <w:bookmarkStart w:name="z33" w:id="25"/>
    <w:p>
      <w:pPr>
        <w:spacing w:after="0"/>
        <w:ind w:left="0"/>
        <w:jc w:val="both"/>
      </w:pPr>
      <w:r>
        <w:rPr>
          <w:rFonts w:ascii="Times New Roman"/>
          <w:b w:val="false"/>
          <w:i w:val="false"/>
          <w:color w:val="000000"/>
          <w:sz w:val="28"/>
        </w:rPr>
        <w:t>
      7. Объем специальной квоты на ввоз товара, оставшийся нераспределенным по результатам распределения в первом периоде, подлежит распределению во втором периоде.</w:t>
      </w:r>
    </w:p>
    <w:bookmarkEnd w:id="25"/>
    <w:bookmarkStart w:name="z34" w:id="26"/>
    <w:p>
      <w:pPr>
        <w:spacing w:after="0"/>
        <w:ind w:left="0"/>
        <w:jc w:val="both"/>
      </w:pPr>
      <w:r>
        <w:rPr>
          <w:rFonts w:ascii="Times New Roman"/>
          <w:b w:val="false"/>
          <w:i w:val="false"/>
          <w:color w:val="000000"/>
          <w:sz w:val="28"/>
        </w:rPr>
        <w:t xml:space="preserve">
      8. Участники внешнеторговой деятельности по истечении срока действия лицензии в течение пятнадцати календарных дней предоставляют в уполномоченный орган справку об исполнении лицензии, выдаваемую уполномоченным органом в сфере таможенного дела,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19 апреля 2016 года № 34.</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распределения объемов</w:t>
            </w:r>
            <w:r>
              <w:br/>
            </w:r>
            <w:r>
              <w:rPr>
                <w:rFonts w:ascii="Times New Roman"/>
                <w:b w:val="false"/>
                <w:i w:val="false"/>
                <w:color w:val="000000"/>
                <w:sz w:val="20"/>
              </w:rPr>
              <w:t>специальной квоты между</w:t>
            </w:r>
            <w:r>
              <w:br/>
            </w:r>
            <w:r>
              <w:rPr>
                <w:rFonts w:ascii="Times New Roman"/>
                <w:b w:val="false"/>
                <w:i w:val="false"/>
                <w:color w:val="000000"/>
                <w:sz w:val="20"/>
              </w:rPr>
              <w:t>участниками внешнеторговой</w:t>
            </w:r>
            <w:r>
              <w:br/>
            </w:r>
            <w:r>
              <w:rPr>
                <w:rFonts w:ascii="Times New Roman"/>
                <w:b w:val="false"/>
                <w:i w:val="false"/>
                <w:color w:val="000000"/>
                <w:sz w:val="20"/>
              </w:rPr>
              <w:t>деятельности на ввоз</w:t>
            </w:r>
            <w:r>
              <w:br/>
            </w:r>
            <w:r>
              <w:rPr>
                <w:rFonts w:ascii="Times New Roman"/>
                <w:b w:val="false"/>
                <w:i w:val="false"/>
                <w:color w:val="000000"/>
                <w:sz w:val="20"/>
              </w:rPr>
              <w:t>горячекатаного проката</w:t>
            </w:r>
          </w:p>
        </w:tc>
      </w:tr>
    </w:tbl>
    <w:bookmarkStart w:name="z36" w:id="27"/>
    <w:p>
      <w:pPr>
        <w:spacing w:after="0"/>
        <w:ind w:left="0"/>
        <w:jc w:val="left"/>
      </w:pPr>
      <w:r>
        <w:rPr>
          <w:rFonts w:ascii="Times New Roman"/>
          <w:b/>
          <w:i w:val="false"/>
          <w:color w:val="000000"/>
        </w:rPr>
        <w:t xml:space="preserve"> Объемы специальной квоты на ввоз товара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4"/>
        <w:gridCol w:w="708"/>
        <w:gridCol w:w="508"/>
      </w:tblGrid>
      <w:tr>
        <w:trPr>
          <w:trHeight w:val="30" w:hRule="atLeast"/>
        </w:trPr>
        <w:tc>
          <w:tcPr>
            <w:tcW w:w="1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специальной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период (20 %)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период (80 %)</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Горячекатаный прокат, классифицируемый кодами ТН ВЭД ЕАЭС 7208 10 000 0, 7208 25 000 0, 7208 26 000 0, 7208 27 000 0, 7208 36 000 0, 7208 37 000 0, 7208 38 000 0, 7208 39 000 0, 7208 40 000 0, 7208 51 200 1, 7208 51 980 0, 7208 52 100 0, 7208 52 910 0, 7208 52 990 0, 7208 53 100 0, 7208 53 900 0, 7208 54 000 0, 7208 90 200 0, 7208 90 800 0, 7211 13 000 0, 7211 14 000 0, 7211 19 000 0, 7225 30 100 0, 7225 30 300 0, 7225 30 900 0, 7225 40 120 1, 7225 40 120 9, 7225 40 150 1, 7225 40 150 9, 7225 40 600 0, 7225 40 900 0, 7226 91 200 0, 7226 91 910 0 и 7226 91 990 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Горячекатаный прокат, классифицируемый кодами ТН ВЭД ЕАЭС 7208 51 200 9, 7208 51 910 0 и 7225 40 400 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