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10b8" w14:textId="b901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документов, необходимых для получения микрокредита, а также Правил ведения кредитного досье по договору о предоставлении микрокредита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ноября 2019 года № 210. Зарегистрировано в Министерстве юстиции Республики Казахстан 4 декабря 2019 года № 19683.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статьи 27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03.04.2026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Перечень документов, необходимых для получения микрокредита,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Правила ведения кредитного досье по договору о предоставлении микрокредита,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3"/>
    <w:bookmarkStart w:name="z9" w:id="4"/>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7"/>
    <w:bookmarkStart w:name="z13" w:id="8"/>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Смолякова О.А. </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210</w:t>
            </w:r>
          </w:p>
        </w:tc>
      </w:tr>
    </w:tbl>
    <w:bookmarkStart w:name="z18" w:id="11"/>
    <w:p>
      <w:pPr>
        <w:spacing w:after="0"/>
        <w:ind w:left="0"/>
        <w:jc w:val="left"/>
      </w:pPr>
      <w:r>
        <w:rPr>
          <w:rFonts w:ascii="Times New Roman"/>
          <w:b/>
          <w:i w:val="false"/>
          <w:color w:val="000000"/>
        </w:rPr>
        <w:t xml:space="preserve"> Перечень документов, необходимых для получения микрокредита</w:t>
      </w:r>
    </w:p>
    <w:bookmarkEnd w:id="11"/>
    <w:bookmarkStart w:name="z19" w:id="12"/>
    <w:p>
      <w:pPr>
        <w:spacing w:after="0"/>
        <w:ind w:left="0"/>
        <w:jc w:val="both"/>
      </w:pPr>
      <w:r>
        <w:rPr>
          <w:rFonts w:ascii="Times New Roman"/>
          <w:b w:val="false"/>
          <w:i w:val="false"/>
          <w:color w:val="000000"/>
          <w:sz w:val="28"/>
        </w:rPr>
        <w:t>
      1. Для получения микрокредита заявитель-физическое лицо предоставляет:</w:t>
      </w:r>
    </w:p>
    <w:bookmarkEnd w:id="12"/>
    <w:bookmarkStart w:name="z51" w:id="13"/>
    <w:p>
      <w:pPr>
        <w:spacing w:after="0"/>
        <w:ind w:left="0"/>
        <w:jc w:val="both"/>
      </w:pPr>
      <w:r>
        <w:rPr>
          <w:rFonts w:ascii="Times New Roman"/>
          <w:b w:val="false"/>
          <w:i w:val="false"/>
          <w:color w:val="000000"/>
          <w:sz w:val="28"/>
        </w:rPr>
        <w:t>
      1) заявление со сведениями о цели использования микрокредита (в случае предоставления целевого микрокредита), об имуществе, предоставляемом в обеспечение исполнения заявителем обязательств по погашению микрокредита и выплате вознаграждения, с указанием его стоимости, либо об отсутствии обеспечения (не требуется при выдаче ломбардом залогового билета);</w:t>
      </w:r>
    </w:p>
    <w:bookmarkEnd w:id="13"/>
    <w:bookmarkStart w:name="z52" w:id="14"/>
    <w:p>
      <w:pPr>
        <w:spacing w:after="0"/>
        <w:ind w:left="0"/>
        <w:jc w:val="both"/>
      </w:pPr>
      <w:r>
        <w:rPr>
          <w:rFonts w:ascii="Times New Roman"/>
          <w:b w:val="false"/>
          <w:i w:val="false"/>
          <w:color w:val="000000"/>
          <w:sz w:val="28"/>
        </w:rPr>
        <w:t>
      2) документ, удостоверяющий личность заявителя (информацию о документе, удостоверяющем личность заявителя, содержащую фамилию, имя, отчество (при его наличии), индивидуальный идентификационный номер (для резидентов и нерезидентов, имеющих индивидуальный идентификационный номер), дату рождения, номер документа, орган выдачи, дату выдачи и срок действия документа);</w:t>
      </w:r>
    </w:p>
    <w:bookmarkEnd w:id="14"/>
    <w:bookmarkStart w:name="z53" w:id="15"/>
    <w:p>
      <w:pPr>
        <w:spacing w:after="0"/>
        <w:ind w:left="0"/>
        <w:jc w:val="both"/>
      </w:pPr>
      <w:r>
        <w:rPr>
          <w:rFonts w:ascii="Times New Roman"/>
          <w:b w:val="false"/>
          <w:i w:val="false"/>
          <w:color w:val="000000"/>
          <w:sz w:val="28"/>
        </w:rPr>
        <w:t>
      3) документы, подтверждающие полномочия представителя заявителя на подписание договора о предоставлении микрокредита (для представителя заявителя);</w:t>
      </w:r>
    </w:p>
    <w:bookmarkEnd w:id="15"/>
    <w:bookmarkStart w:name="z54" w:id="16"/>
    <w:p>
      <w:pPr>
        <w:spacing w:after="0"/>
        <w:ind w:left="0"/>
        <w:jc w:val="both"/>
      </w:pPr>
      <w:r>
        <w:rPr>
          <w:rFonts w:ascii="Times New Roman"/>
          <w:b w:val="false"/>
          <w:i w:val="false"/>
          <w:color w:val="000000"/>
          <w:sz w:val="28"/>
        </w:rPr>
        <w:t>
      4) в случае, если предоставляемый микрокредит обеспечивается залогом имущества, - договор о залоге (не требуется при выдаче ломбардом залогового билета), копии документов, подтверждающих право собственности на имущество, подлежащее регистрации, а в случаях обязательной регистрации залога имущества - свидетельство о регистрации залога имущества;</w:t>
      </w:r>
    </w:p>
    <w:bookmarkEnd w:id="16"/>
    <w:bookmarkStart w:name="z55" w:id="17"/>
    <w:p>
      <w:pPr>
        <w:spacing w:after="0"/>
        <w:ind w:left="0"/>
        <w:jc w:val="both"/>
      </w:pPr>
      <w:r>
        <w:rPr>
          <w:rFonts w:ascii="Times New Roman"/>
          <w:b w:val="false"/>
          <w:i w:val="false"/>
          <w:color w:val="000000"/>
          <w:sz w:val="28"/>
        </w:rPr>
        <w:t>
      5) документы и информация, необходимые для расчета коэффициента долговой нагрузки заемщика (не требуется при получении микрокредита в кредитном товариществе и ломбарде).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16.04.2021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Для получения микрокредита заявитель-юридическое лицо предоставляет:</w:t>
      </w:r>
    </w:p>
    <w:bookmarkEnd w:id="18"/>
    <w:bookmarkStart w:name="z26" w:id="19"/>
    <w:p>
      <w:pPr>
        <w:spacing w:after="0"/>
        <w:ind w:left="0"/>
        <w:jc w:val="both"/>
      </w:pPr>
      <w:r>
        <w:rPr>
          <w:rFonts w:ascii="Times New Roman"/>
          <w:b w:val="false"/>
          <w:i w:val="false"/>
          <w:color w:val="000000"/>
          <w:sz w:val="28"/>
        </w:rPr>
        <w:t>
      1) заявление со сведениями о цели использования микрокредита (в случае предоставления целевого микрокредита), об имуществе, предоставляемом в обеспечение исполнения заявителем обязательств по погашению микрокредита и выплате вознаграждения с указанием его стоимости, либо об отсутствии обеспечения;</w:t>
      </w:r>
    </w:p>
    <w:bookmarkEnd w:id="19"/>
    <w:bookmarkStart w:name="z27" w:id="20"/>
    <w:p>
      <w:pPr>
        <w:spacing w:after="0"/>
        <w:ind w:left="0"/>
        <w:jc w:val="both"/>
      </w:pPr>
      <w:r>
        <w:rPr>
          <w:rFonts w:ascii="Times New Roman"/>
          <w:b w:val="false"/>
          <w:i w:val="false"/>
          <w:color w:val="000000"/>
          <w:sz w:val="28"/>
        </w:rPr>
        <w:t>
      2) решение органа заявителя на получение микрокредита;</w:t>
      </w:r>
    </w:p>
    <w:bookmarkEnd w:id="20"/>
    <w:bookmarkStart w:name="z28" w:id="21"/>
    <w:p>
      <w:pPr>
        <w:spacing w:after="0"/>
        <w:ind w:left="0"/>
        <w:jc w:val="both"/>
      </w:pPr>
      <w:r>
        <w:rPr>
          <w:rFonts w:ascii="Times New Roman"/>
          <w:b w:val="false"/>
          <w:i w:val="false"/>
          <w:color w:val="000000"/>
          <w:sz w:val="28"/>
        </w:rPr>
        <w:t>
      3) копии учредительных документов заявителя;</w:t>
      </w:r>
    </w:p>
    <w:bookmarkEnd w:id="21"/>
    <w:bookmarkStart w:name="z29" w:id="22"/>
    <w:p>
      <w:pPr>
        <w:spacing w:after="0"/>
        <w:ind w:left="0"/>
        <w:jc w:val="both"/>
      </w:pPr>
      <w:r>
        <w:rPr>
          <w:rFonts w:ascii="Times New Roman"/>
          <w:b w:val="false"/>
          <w:i w:val="false"/>
          <w:color w:val="000000"/>
          <w:sz w:val="28"/>
        </w:rPr>
        <w:t>
      4) документы, подтверждающие полномочия представителя заявителя на подписание договора о предоставлении микрокредита (для представителя заявителя);</w:t>
      </w:r>
    </w:p>
    <w:bookmarkEnd w:id="22"/>
    <w:bookmarkStart w:name="z30" w:id="23"/>
    <w:p>
      <w:pPr>
        <w:spacing w:after="0"/>
        <w:ind w:left="0"/>
        <w:jc w:val="both"/>
      </w:pPr>
      <w:r>
        <w:rPr>
          <w:rFonts w:ascii="Times New Roman"/>
          <w:b w:val="false"/>
          <w:i w:val="false"/>
          <w:color w:val="000000"/>
          <w:sz w:val="28"/>
        </w:rPr>
        <w:t>
      5) в случае, если предоставляемый микрокредит обеспечивается залогом имущества, - решение органа залогодателя - юридического лица на предоставление предмета залога в обеспечение исполнения обязательств заявителя, договор о залоге, копии документов, подтверждающих право собственности на имущество, а в случаях обязательной регистрации залога имущества - свидетельство о регистрации залога имущества.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2019 года № 210</w:t>
            </w:r>
          </w:p>
        </w:tc>
      </w:tr>
    </w:tbl>
    <w:bookmarkStart w:name="z32" w:id="24"/>
    <w:p>
      <w:pPr>
        <w:spacing w:after="0"/>
        <w:ind w:left="0"/>
        <w:jc w:val="left"/>
      </w:pPr>
      <w:r>
        <w:rPr>
          <w:rFonts w:ascii="Times New Roman"/>
          <w:b/>
          <w:i w:val="false"/>
          <w:color w:val="000000"/>
        </w:rPr>
        <w:t xml:space="preserve"> Правила ведения кредитного досье по договору о предоставлении микрокредита</w:t>
      </w:r>
    </w:p>
    <w:bookmarkEnd w:id="24"/>
    <w:bookmarkStart w:name="z33" w:id="25"/>
    <w:p>
      <w:pPr>
        <w:spacing w:after="0"/>
        <w:ind w:left="0"/>
        <w:jc w:val="both"/>
      </w:pPr>
      <w:r>
        <w:rPr>
          <w:rFonts w:ascii="Times New Roman"/>
          <w:b w:val="false"/>
          <w:i w:val="false"/>
          <w:color w:val="000000"/>
          <w:sz w:val="28"/>
        </w:rPr>
        <w:t>
      1. Настоящие Правила ведения кредитного досье по договору о предоставлении микрокредита (далее - Правила) действуют в отношении договора о предоставлении микрокредита.</w:t>
      </w:r>
    </w:p>
    <w:bookmarkEnd w:id="25"/>
    <w:bookmarkStart w:name="z34" w:id="26"/>
    <w:p>
      <w:pPr>
        <w:spacing w:after="0"/>
        <w:ind w:left="0"/>
        <w:jc w:val="both"/>
      </w:pPr>
      <w:r>
        <w:rPr>
          <w:rFonts w:ascii="Times New Roman"/>
          <w:b w:val="false"/>
          <w:i w:val="false"/>
          <w:color w:val="000000"/>
          <w:sz w:val="28"/>
        </w:rPr>
        <w:t>
      Требования Правил распространяются на организации, осуществляющие микрофинансовую деятельность (далее - микрофинансовые организации), осуществляющие деятельность по предоставлению микрокредитов.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16.04.2021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2. В микрофинансовой организации кредитное досье открывается в день подписания заемщиком первого договора о предоставлении микрокредита с данной микрофинансовой организацией.</w:t>
      </w:r>
    </w:p>
    <w:bookmarkEnd w:id="27"/>
    <w:bookmarkStart w:name="z36" w:id="28"/>
    <w:p>
      <w:pPr>
        <w:spacing w:after="0"/>
        <w:ind w:left="0"/>
        <w:jc w:val="both"/>
      </w:pPr>
      <w:r>
        <w:rPr>
          <w:rFonts w:ascii="Times New Roman"/>
          <w:b w:val="false"/>
          <w:i w:val="false"/>
          <w:color w:val="000000"/>
          <w:sz w:val="28"/>
        </w:rPr>
        <w:t xml:space="preserve">
      3. Кредитное досье содержит документы, предусмотренные в Перечне документов, необходимых для получения микрокредита,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а также следующие документы и сведения:</w:t>
      </w:r>
    </w:p>
    <w:bookmarkEnd w:id="28"/>
    <w:bookmarkStart w:name="z57" w:id="29"/>
    <w:p>
      <w:pPr>
        <w:spacing w:after="0"/>
        <w:ind w:left="0"/>
        <w:jc w:val="both"/>
      </w:pPr>
      <w:r>
        <w:rPr>
          <w:rFonts w:ascii="Times New Roman"/>
          <w:b w:val="false"/>
          <w:i w:val="false"/>
          <w:color w:val="000000"/>
          <w:sz w:val="28"/>
        </w:rPr>
        <w:t>
      1) договор о предоставлении микрокредита;</w:t>
      </w:r>
    </w:p>
    <w:bookmarkEnd w:id="29"/>
    <w:bookmarkStart w:name="z58" w:id="30"/>
    <w:p>
      <w:pPr>
        <w:spacing w:after="0"/>
        <w:ind w:left="0"/>
        <w:jc w:val="both"/>
      </w:pPr>
      <w:r>
        <w:rPr>
          <w:rFonts w:ascii="Times New Roman"/>
          <w:b w:val="false"/>
          <w:i w:val="false"/>
          <w:color w:val="000000"/>
          <w:sz w:val="28"/>
        </w:rPr>
        <w:t>
      2) дополнительные соглашения к договору о предоставлении микрокредита;</w:t>
      </w:r>
    </w:p>
    <w:bookmarkEnd w:id="30"/>
    <w:bookmarkStart w:name="z59" w:id="31"/>
    <w:p>
      <w:pPr>
        <w:spacing w:after="0"/>
        <w:ind w:left="0"/>
        <w:jc w:val="both"/>
      </w:pPr>
      <w:r>
        <w:rPr>
          <w:rFonts w:ascii="Times New Roman"/>
          <w:b w:val="false"/>
          <w:i w:val="false"/>
          <w:color w:val="000000"/>
          <w:sz w:val="28"/>
        </w:rPr>
        <w:t>
      3) подписанный сторонами график погашения микрокредита;</w:t>
      </w:r>
    </w:p>
    <w:bookmarkEnd w:id="31"/>
    <w:bookmarkStart w:name="z60" w:id="32"/>
    <w:p>
      <w:pPr>
        <w:spacing w:after="0"/>
        <w:ind w:left="0"/>
        <w:jc w:val="both"/>
      </w:pPr>
      <w:r>
        <w:rPr>
          <w:rFonts w:ascii="Times New Roman"/>
          <w:b w:val="false"/>
          <w:i w:val="false"/>
          <w:color w:val="000000"/>
          <w:sz w:val="28"/>
        </w:rPr>
        <w:t>
      4) расчеты уточненного значения годовой эффективной ставки вознаграждения (при наличии);</w:t>
      </w:r>
    </w:p>
    <w:bookmarkEnd w:id="32"/>
    <w:bookmarkStart w:name="z61" w:id="33"/>
    <w:p>
      <w:pPr>
        <w:spacing w:after="0"/>
        <w:ind w:left="0"/>
        <w:jc w:val="both"/>
      </w:pPr>
      <w:r>
        <w:rPr>
          <w:rFonts w:ascii="Times New Roman"/>
          <w:b w:val="false"/>
          <w:i w:val="false"/>
          <w:color w:val="000000"/>
          <w:sz w:val="28"/>
        </w:rPr>
        <w:t>
      5) договор гарантии или поручительства, документы, подтверждающие полномочия представителя на подписание гарантийного договора от имени гаранта или договора поручительства от имени поручителя (в случае микрокредита, исполнение обязательства по которому обеспечено гарантией или поручительством);</w:t>
      </w:r>
    </w:p>
    <w:bookmarkEnd w:id="33"/>
    <w:bookmarkStart w:name="z62" w:id="34"/>
    <w:p>
      <w:pPr>
        <w:spacing w:after="0"/>
        <w:ind w:left="0"/>
        <w:jc w:val="both"/>
      </w:pPr>
      <w:r>
        <w:rPr>
          <w:rFonts w:ascii="Times New Roman"/>
          <w:b w:val="false"/>
          <w:i w:val="false"/>
          <w:color w:val="000000"/>
          <w:sz w:val="28"/>
        </w:rPr>
        <w:t>
      6) переписку между микрофинансовой организацией и заемщиком;</w:t>
      </w:r>
    </w:p>
    <w:bookmarkEnd w:id="34"/>
    <w:bookmarkStart w:name="z63" w:id="35"/>
    <w:p>
      <w:pPr>
        <w:spacing w:after="0"/>
        <w:ind w:left="0"/>
        <w:jc w:val="both"/>
      </w:pPr>
      <w:r>
        <w:rPr>
          <w:rFonts w:ascii="Times New Roman"/>
          <w:b w:val="false"/>
          <w:i w:val="false"/>
          <w:color w:val="000000"/>
          <w:sz w:val="28"/>
        </w:rPr>
        <w:t>
      7) документы (или их копии), подтверждающие полное или частичное погашение задолженности по договору о предоставлении микрокредита, отражающие источник погашения микрокредита (деньги, перечисленные заемщиком либо вырученные от продажи заложенного имущества);</w:t>
      </w:r>
    </w:p>
    <w:bookmarkEnd w:id="35"/>
    <w:bookmarkStart w:name="z64" w:id="36"/>
    <w:p>
      <w:pPr>
        <w:spacing w:after="0"/>
        <w:ind w:left="0"/>
        <w:jc w:val="both"/>
      </w:pPr>
      <w:r>
        <w:rPr>
          <w:rFonts w:ascii="Times New Roman"/>
          <w:b w:val="false"/>
          <w:i w:val="false"/>
          <w:color w:val="000000"/>
          <w:sz w:val="28"/>
        </w:rPr>
        <w:t>
      8) информацию, подтверждающую получение согласия субъекта кредитной истории на предоставление информации о нем в кредитные бюро;</w:t>
      </w:r>
    </w:p>
    <w:bookmarkEnd w:id="36"/>
    <w:bookmarkStart w:name="z65" w:id="37"/>
    <w:p>
      <w:pPr>
        <w:spacing w:after="0"/>
        <w:ind w:left="0"/>
        <w:jc w:val="both"/>
      </w:pPr>
      <w:r>
        <w:rPr>
          <w:rFonts w:ascii="Times New Roman"/>
          <w:b w:val="false"/>
          <w:i w:val="false"/>
          <w:color w:val="000000"/>
          <w:sz w:val="28"/>
        </w:rPr>
        <w:t>
      9) информацию, подтверждающую получение согласия субъекта кредитной истории на выдачу кредитного отчета получателю кредитного отчета.</w:t>
      </w:r>
    </w:p>
    <w:bookmarkEnd w:id="37"/>
    <w:bookmarkStart w:name="z66" w:id="38"/>
    <w:p>
      <w:pPr>
        <w:spacing w:after="0"/>
        <w:ind w:left="0"/>
        <w:jc w:val="both"/>
      </w:pPr>
      <w:r>
        <w:rPr>
          <w:rFonts w:ascii="Times New Roman"/>
          <w:b w:val="false"/>
          <w:i w:val="false"/>
          <w:color w:val="000000"/>
          <w:sz w:val="28"/>
        </w:rPr>
        <w:t>
      Микрофинансовой организации запрещается сбор, обработка копий документов, удостоверяющих личность, на бумажном носителе,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29.03.2024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4. Микрофинансовая организация ведет кредитное досье, содержит его в актуальном состоянии, а также обеспечивает полноту документов в нем в соответствии с требованиями Правил.</w:t>
      </w:r>
    </w:p>
    <w:bookmarkEnd w:id="39"/>
    <w:bookmarkStart w:name="z47" w:id="40"/>
    <w:p>
      <w:pPr>
        <w:spacing w:after="0"/>
        <w:ind w:left="0"/>
        <w:jc w:val="both"/>
      </w:pPr>
      <w:r>
        <w:rPr>
          <w:rFonts w:ascii="Times New Roman"/>
          <w:b w:val="false"/>
          <w:i w:val="false"/>
          <w:color w:val="000000"/>
          <w:sz w:val="28"/>
        </w:rPr>
        <w:t>
      5. Кредитное досье формируется на бумажном носителе и (или) в электронном виде.</w:t>
      </w:r>
    </w:p>
    <w:bookmarkEnd w:id="40"/>
    <w:bookmarkStart w:name="z48" w:id="41"/>
    <w:p>
      <w:pPr>
        <w:spacing w:after="0"/>
        <w:ind w:left="0"/>
        <w:jc w:val="both"/>
      </w:pPr>
      <w:r>
        <w:rPr>
          <w:rFonts w:ascii="Times New Roman"/>
          <w:b w:val="false"/>
          <w:i w:val="false"/>
          <w:color w:val="000000"/>
          <w:sz w:val="28"/>
        </w:rPr>
        <w:t>
      6. После завершения взаимоотношений с заемщиком кредитное досье переводится на хранение. Хранение осуществляется в микрофинансовой организации.</w:t>
      </w:r>
    </w:p>
    <w:bookmarkEnd w:id="41"/>
    <w:bookmarkStart w:name="z49" w:id="42"/>
    <w:p>
      <w:pPr>
        <w:spacing w:after="0"/>
        <w:ind w:left="0"/>
        <w:jc w:val="both"/>
      </w:pPr>
      <w:r>
        <w:rPr>
          <w:rFonts w:ascii="Times New Roman"/>
          <w:b w:val="false"/>
          <w:i w:val="false"/>
          <w:color w:val="000000"/>
          <w:sz w:val="28"/>
        </w:rPr>
        <w:t xml:space="preserve">
      Хранение документов кредитного досье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культуры и информации Республики Казахстан от 17 июня 2025 года № 279-НҚ "Об утверждении Перечня типовых документов, образующихся в деятельности государственных и негосударственных организаций, с указанием срока хранения".</w:t>
      </w:r>
    </w:p>
    <w:bookmarkEnd w:id="42"/>
    <w:bookmarkStart w:name="z50" w:id="43"/>
    <w:p>
      <w:pPr>
        <w:spacing w:after="0"/>
        <w:ind w:left="0"/>
        <w:jc w:val="both"/>
      </w:pPr>
      <w:r>
        <w:rPr>
          <w:rFonts w:ascii="Times New Roman"/>
          <w:b w:val="false"/>
          <w:i w:val="false"/>
          <w:color w:val="000000"/>
          <w:sz w:val="28"/>
        </w:rPr>
        <w:t>
      Документы в электронном виде хранятся в том формате, в котором они были сформированы, отправлены или получены.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