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efee" w14:textId="43ae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ноября 2019 года № 192. Зарегистрировано в Министерстве юстиции Республики Казахстан 21 ноября 2019 года № 19629.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27 Закона Республики Казахстан "О микрофинансовой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16.10.2025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иные обязательные к соблюдению организацией, осуществляющей микрофинансовую деятельность, нормы и лимиты, методику их расчетов.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июля 2017 года № 148 "Об утверждении пруденциальных нормативов и иных обязательных к соблюдению микрофинансовой организацией норм и лимитов, методики их расчетов, а также форм и сроков представления отчетности об их выполнении" (зарегистрировано в Реестре государственной регистрации нормативных правовых актов под № 15696, опубликовано  25 сентября 2017 года в Эталонном контрольном банке нормативных правовых актов Республики Казахстан);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30 июля 2018 года № 157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17559, опубликовано 22 октября 2018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 192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Пруденциальные нормативы и иные обязательные к соблюдению организацией, осуществляющей микрофинансовую деятельность, нормы и лимиты, методика их расчетов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Пруденциальные нормативы и иные обязательные к соблюдению организацией, осуществляющей микрофинансовую деятельность, нормы и лимиты, методика их расчетов (далее -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27 Закона Республики Казахстан "О микрофинансовой деятельности" (далее - Закон) и устанавливают пруденциальные нормативы и иные обязательные к соблюдению организацией, осуществляющей микрофинансовую деятельность, нормы и лимиты, методику их расчетов.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Нормативов под организациями, осуществляющими микрофинансовую деятельность, понимаются микрофинансовые организации, кредитные товарищества и ломбарды, осуществляющие деятельность по предоставлению микрокредитов.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16.10.2025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пруденциальных нормативов и иных обязательных к соблюдению организацией, осуществляющей микрофинансовую деятельность, норм и лимитов входят:</w:t>
      </w:r>
    </w:p>
    <w:bookmarkEnd w:id="16"/>
    <w:bookmarkStart w:name="z2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организации:</w:t>
      </w:r>
    </w:p>
    <w:bookmarkEnd w:id="17"/>
    <w:bookmarkStart w:name="z2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капитала;</w:t>
      </w:r>
    </w:p>
    <w:bookmarkEnd w:id="18"/>
    <w:bookmarkStart w:name="z2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</w:t>
      </w:r>
    </w:p>
    <w:bookmarkEnd w:id="19"/>
    <w:bookmarkStart w:name="z2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собственного капитала;</w:t>
      </w:r>
    </w:p>
    <w:bookmarkEnd w:id="20"/>
    <w:bookmarkStart w:name="z2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риска на одного заемщика;</w:t>
      </w:r>
    </w:p>
    <w:bookmarkEnd w:id="21"/>
    <w:bookmarkStart w:name="z2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левереджа;</w:t>
      </w:r>
    </w:p>
    <w:bookmarkEnd w:id="22"/>
    <w:bookmarkStart w:name="z2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долга к доходу заемщика;</w:t>
      </w:r>
    </w:p>
    <w:bookmarkEnd w:id="23"/>
    <w:bookmarkStart w:name="z3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долговой нагрузки заемщика;</w:t>
      </w:r>
    </w:p>
    <w:bookmarkEnd w:id="24"/>
    <w:bookmarkStart w:name="z2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товарищества:</w:t>
      </w:r>
    </w:p>
    <w:bookmarkEnd w:id="25"/>
    <w:bookmarkStart w:name="z2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капитала;</w:t>
      </w:r>
    </w:p>
    <w:bookmarkEnd w:id="26"/>
    <w:bookmarkStart w:name="z2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</w:t>
      </w:r>
    </w:p>
    <w:bookmarkEnd w:id="27"/>
    <w:bookmarkStart w:name="z2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левереджа;</w:t>
      </w:r>
    </w:p>
    <w:bookmarkEnd w:id="28"/>
    <w:bookmarkStart w:name="z2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 – минимальный размер уставного капитала.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20.08.2024); с изменением, внесенным постановлением Правления Агентства РК по регулированию и развитию финансового рынка от 16.10.2025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Минимальный размер уставного и собственного капитала организации, осуществляющей микрофинансовую деятельность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уставного капитала составляет:</w:t>
      </w:r>
    </w:p>
    <w:bookmarkEnd w:id="31"/>
    <w:bookmarkStart w:name="z2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микрофинансовой организации – 100 000 000 (сто миллионов) тенге, за исключением следующих случаев: </w:t>
      </w:r>
    </w:p>
    <w:bookmarkEnd w:id="32"/>
    <w:bookmarkStart w:name="z2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– 150 000 000 (сто пятьдесят миллионов) тенге;</w:t>
      </w:r>
    </w:p>
    <w:bookmarkEnd w:id="33"/>
    <w:bookmarkStart w:name="z2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2024 года – 200 000 000 (двести миллионов) тенге; </w:t>
      </w:r>
    </w:p>
    <w:bookmarkEnd w:id="34"/>
    <w:bookmarkStart w:name="z2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микрофинансовой организации, прошедшей учетную регистрацию в уполномоченном органе по регулированию, контролю и надзору финансового рынка и финансовых организаций (далее – уполномоченный орган) до 1 января 2020 года, минимальный размер уставного капитала составляет:</w:t>
      </w:r>
    </w:p>
    <w:bookmarkEnd w:id="35"/>
    <w:bookmarkStart w:name="z2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36"/>
    <w:bookmarkStart w:name="z2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50 000 000 (пятьдесят миллионов) тенге;</w:t>
      </w:r>
    </w:p>
    <w:bookmarkEnd w:id="37"/>
    <w:bookmarkStart w:name="z2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70 000 000 (семьдесят миллионов) тенге;</w:t>
      </w:r>
    </w:p>
    <w:bookmarkEnd w:id="38"/>
    <w:bookmarkStart w:name="z2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100 000 000 (сто миллионов) тенге;</w:t>
      </w:r>
    </w:p>
    <w:bookmarkEnd w:id="39"/>
    <w:bookmarkStart w:name="z2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– 150 000 000 (сто пятьдесят миллионов) тенге;</w:t>
      </w:r>
    </w:p>
    <w:bookmarkEnd w:id="40"/>
    <w:bookmarkStart w:name="z2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2024 года – 200 000 000 (двести миллионов) тенге; </w:t>
      </w:r>
    </w:p>
    <w:bookmarkEnd w:id="41"/>
    <w:bookmarkStart w:name="z2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 – 50 000 000 (пятьдесят миллионов) тенге, за исключением:</w:t>
      </w:r>
    </w:p>
    <w:bookmarkEnd w:id="42"/>
    <w:bookmarkStart w:name="z2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 городах Астане, Алматы, Шымкенте или областном центре, для которого минимальный размер уставного капитала составляет:</w:t>
      </w:r>
    </w:p>
    <w:bookmarkEnd w:id="43"/>
    <w:bookmarkStart w:name="z2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44"/>
    <w:bookmarkStart w:name="z2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45"/>
    <w:bookmarkStart w:name="z2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46"/>
    <w:bookmarkStart w:name="z2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миллионов) тенге;</w:t>
      </w:r>
    </w:p>
    <w:bookmarkEnd w:id="47"/>
    <w:bookmarkStart w:name="z2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2021 года и осуществляющего свою деятельность вне городов Астаны, Алматы, Шымкента или областного центра, для которого минимальный размер уставного капитала составляет:</w:t>
      </w:r>
    </w:p>
    <w:bookmarkEnd w:id="48"/>
    <w:bookmarkStart w:name="z2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49"/>
    <w:bookmarkStart w:name="z2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10 000 000 (десять миллионов) тенге;</w:t>
      </w:r>
    </w:p>
    <w:bookmarkEnd w:id="50"/>
    <w:bookmarkStart w:name="z2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15 000 000 (пятнадцать миллионов) тенге;</w:t>
      </w:r>
    </w:p>
    <w:bookmarkEnd w:id="51"/>
    <w:bookmarkStart w:name="z2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25 000 000 (двадцать пять миллионов) тенге;</w:t>
      </w:r>
    </w:p>
    <w:bookmarkEnd w:id="52"/>
    <w:bookmarkStart w:name="z2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 – 70 000 000 (семьдесят миллионов) тенге, за исключением ломбарда, прошедшего государственную регистрацию в качестве ломбарда до 1 января 2020 года, для которого минимальный размер уставного капитала составляет:</w:t>
      </w:r>
    </w:p>
    <w:bookmarkEnd w:id="53"/>
    <w:bookmarkStart w:name="z2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54"/>
    <w:bookmarkStart w:name="z2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30 000 000 (тридцать миллионов) тенге;</w:t>
      </w:r>
    </w:p>
    <w:bookmarkEnd w:id="55"/>
    <w:bookmarkStart w:name="z2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30 000 000 (тридцать миллионов) тенге;</w:t>
      </w:r>
    </w:p>
    <w:bookmarkEnd w:id="56"/>
    <w:bookmarkStart w:name="z2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50 000 000 (пятьдесят миллионов)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Ломбардам, осуществлявшим свою деятельность до 1 января 2020 года и пополнившим уставный капитал имуществом до указанного срока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ответственностью", допускается включать в расчет уставного капитала сумму капитала, внесенного имуществом, в том числе деньгами.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Ломбардам, осуществлявшим свою деятельность до 1 января 2020 года и находящимся в процессе реорганизации в одно юридическое лицо, допускается в расчет уставного капитала включать сумму капиталов реорганизованных ломбардов.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Пруденциальные нормативы дополнены пунктом 3-1 в соответствии с постановлением Правления Агентства РК по регулированию и развитию финансового рынка от 03.08.2020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размер собственного капитала составляет:</w:t>
      </w:r>
    </w:p>
    <w:bookmarkEnd w:id="59"/>
    <w:bookmarkStart w:name="z2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 – 100 000 000 (сто миллионов) тенге, за исключением следующих случаев:</w:t>
      </w:r>
    </w:p>
    <w:bookmarkEnd w:id="60"/>
    <w:bookmarkStart w:name="z2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– 150 000 000 (сто пятьдесят миллионов) тенге;</w:t>
      </w:r>
    </w:p>
    <w:bookmarkEnd w:id="61"/>
    <w:bookmarkStart w:name="z2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200 000 000 (двести миллионов) тенге;</w:t>
      </w:r>
    </w:p>
    <w:bookmarkEnd w:id="62"/>
    <w:bookmarkStart w:name="z2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микрофинансовой организации, прошедшей учетную регистрацию в уполномоченном органе до 1 января 2020 года, минимальный размер собственного капитала составляет:</w:t>
      </w:r>
    </w:p>
    <w:bookmarkEnd w:id="63"/>
    <w:bookmarkStart w:name="z2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64"/>
    <w:bookmarkStart w:name="z2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50 000 000 (пятьдесят миллионов) тенге;</w:t>
      </w:r>
    </w:p>
    <w:bookmarkEnd w:id="65"/>
    <w:bookmarkStart w:name="z2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70 000 000 (семьдесят миллионов) тенге;</w:t>
      </w:r>
    </w:p>
    <w:bookmarkEnd w:id="66"/>
    <w:bookmarkStart w:name="z2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100 000 000 (сто миллионов) тенге;</w:t>
      </w:r>
    </w:p>
    <w:bookmarkEnd w:id="67"/>
    <w:bookmarkStart w:name="z2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– 150 000 000 (сто пятьдесят миллионов) тенге;</w:t>
      </w:r>
    </w:p>
    <w:bookmarkEnd w:id="68"/>
    <w:bookmarkStart w:name="z2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200 000 000 (двести миллионов) тенге;</w:t>
      </w:r>
    </w:p>
    <w:bookmarkEnd w:id="69"/>
    <w:bookmarkStart w:name="z2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 – 50 000 000 (пятьдесят миллионов) тенге, за исключением:</w:t>
      </w:r>
    </w:p>
    <w:bookmarkEnd w:id="70"/>
    <w:bookmarkStart w:name="z2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 городах Астане, Алматы, Шымкенте или областном центре, для которого минимальный размер собственного капитала составляет:</w:t>
      </w:r>
    </w:p>
    <w:bookmarkEnd w:id="71"/>
    <w:bookmarkStart w:name="z2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72"/>
    <w:bookmarkStart w:name="z2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73"/>
    <w:bookmarkStart w:name="z2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74"/>
    <w:bookmarkStart w:name="z2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миллионов) тенге;</w:t>
      </w:r>
    </w:p>
    <w:bookmarkEnd w:id="75"/>
    <w:bookmarkStart w:name="z2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2021 года и осуществляющего свою деятельность вне городов Астаны, Алматы, Шымкента или областного центра, для которого минимальный размер собственного капитала составляет:</w:t>
      </w:r>
    </w:p>
    <w:bookmarkEnd w:id="76"/>
    <w:bookmarkStart w:name="z26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77"/>
    <w:bookmarkStart w:name="z2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10 000 000 (десять миллионов) тенге;</w:t>
      </w:r>
    </w:p>
    <w:bookmarkEnd w:id="78"/>
    <w:bookmarkStart w:name="z2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15 000 000 (пятнадцать миллионов) тенге;</w:t>
      </w:r>
    </w:p>
    <w:bookmarkEnd w:id="79"/>
    <w:bookmarkStart w:name="z2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25 000 000 (двадцать пять миллионов)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Методика расчета пруденциальных нормативов и иных обязательных к соблюдению организацией, осуществляющей микрофинансовую деятельность, норм и лимитов</w:t>
      </w:r>
    </w:p>
    <w:bookmarkEnd w:id="81"/>
    <w:bookmarkStart w:name="z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Достаточность собственного капитала микрофинансовой организации характеризуется коэффициентом k1 и рассчитывается как отношение собственного капитала к сумме активов, взвешенных по степени кредитного риска.</w:t>
      </w:r>
    </w:p>
    <w:bookmarkEnd w:id="82"/>
    <w:bookmarkStart w:name="z2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активов, взвешиваемых по степени кредитного риска, проводится в соответствии с Таблицей активов микрофинансовой организации,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83"/>
    <w:bookmarkStart w:name="z2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Активы, взвешенные по степени кредитного риска, принимаемые в расчет коэффициента k1 включаются за вычетом провизий (резервов), сформированных в соответствии с Правилами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62, зарегистрированным в Реестре государственной регистрации нормативных правовых актов под № 16858.</w:t>
      </w:r>
    </w:p>
    <w:bookmarkEnd w:id="84"/>
    <w:bookmarkStart w:name="z2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k1 составляет не менее 0,1.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Обязательным условием выполнения норматива k1 является соблюдение лимита на долю просроченной задолженности по основному долгу, начисленному вознаграждению свыше 90 (девяноста) календарных дней в общей сумме ссудного портфеля (далее – лимит).</w:t>
      </w:r>
    </w:p>
    <w:bookmarkEnd w:id="86"/>
    <w:bookmarkStart w:name="z3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лимита осуществляется по формуле:</w:t>
      </w:r>
    </w:p>
    <w:bookmarkEnd w:id="87"/>
    <w:bookmarkStart w:name="z3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10668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3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лимит,</w:t>
      </w:r>
    </w:p>
    <w:bookmarkEnd w:id="90"/>
    <w:bookmarkStart w:name="z3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микрокредиты на конец отчетного периода с просроченной задолженностью по основному долгу, начисленному вознаграждению свыше 90 (девяноста) календарных дней, учитываемые микрофинансовой организацией на балансовых счетах и списанные на внебалансовый учет.</w:t>
      </w:r>
    </w:p>
    <w:bookmarkEnd w:id="91"/>
    <w:bookmarkStart w:name="z3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МП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в себя по просроченной задолженности сумму основного долга, начисленного вознаграждения без учета провизий (резервов), сформированных в соответствии с Правилами осуществления классификации активов и условных обязательств.</w:t>
      </w:r>
    </w:p>
    <w:bookmarkEnd w:id="92"/>
    <w:bookmarkStart w:name="z3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ссудный портфель на конец отчетного периода.</w:t>
      </w:r>
    </w:p>
    <w:bookmarkEnd w:id="93"/>
    <w:bookmarkStart w:name="z3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СП включает в себя сумму основного долга, начисленного вознаграждения без учета провизий (резервов), сформированных в соответствии с Правилами осуществления классификации активов и условных обязательств, учитываемые микрофинансовой организацией на балансовых счетах и списанные на внебалансовый учет.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десятый пункта 5-1 предусмотрен в редакции постановления Правления Агентства РК по регулированию и развитию финансового рынка от 16.10.2025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десятый пункта 5-1 действует до 01.01.2026 в соответствии с постановлением Правления Агентства РК по регулированию и развитию финансового рынка от 16.10.2025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лимита составляет не более 15 (пятнадцати) процентов.</w:t>
      </w:r>
    </w:p>
    <w:bookmarkStart w:name="z3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лимита на отчетную дату влечет нарушение норматива k1.</w:t>
      </w:r>
    </w:p>
    <w:bookmarkEnd w:id="95"/>
    <w:bookmarkStart w:name="z3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 не позднее 1 (одного) рабочего дня, следующего за отчетным периодом, в котором произошло превышение лимита, разрабатывает и представляет в уполномоченный орган для одобрения план мероприятий по урегулированию просроченной задолженности по микрокредитам по основному долгу, начисленному вознаграждению свыше 90 (девяноста) календарных дней (далее – План мероприятий).</w:t>
      </w:r>
    </w:p>
    <w:bookmarkEnd w:id="96"/>
    <w:bookmarkStart w:name="z3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разрабатывается на срок не менее 3 (трех) месяцев и, не ограничиваясь нижеследующим, предусматривает следующее:</w:t>
      </w:r>
    </w:p>
    <w:bookmarkEnd w:id="97"/>
    <w:bookmarkStart w:name="z3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снижению просроченной задолженности по микрокредитам по основному долгу и (или) начисленному вознаграждению свыше 90 (девяноста) календарных дней до уровня менее или равного требуемому значению лимита;</w:t>
      </w:r>
    </w:p>
    <w:bookmarkEnd w:id="98"/>
    <w:bookmarkStart w:name="z3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реализации мер, предусмотренных Планом мероприятий;</w:t>
      </w:r>
    </w:p>
    <w:bookmarkEnd w:id="99"/>
    <w:bookmarkStart w:name="z3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работников, ответственных за исполнение Плана мероприятий (с указанием руководящих работников, ответственных за исполнение по каждому пункту Плана мероприятий).</w:t>
      </w:r>
    </w:p>
    <w:bookmarkEnd w:id="100"/>
    <w:bookmarkStart w:name="z3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План мероприятий, представленный микрофинансовой организацией, и направляет результаты его рассмотрения микрофинансовой организации в срок, не превышающий 3 (трех) рабочих дней с даты поступления Плана мероприятий в уполномоченный орган.</w:t>
      </w:r>
    </w:p>
    <w:bookmarkEnd w:id="101"/>
    <w:bookmarkStart w:name="z3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одобряет План мероприятий в письменной форме. При неодобрении Плана мероприятий предоставляет замечания в письменной форме.</w:t>
      </w:r>
    </w:p>
    <w:bookmarkEnd w:id="102"/>
    <w:bookmarkStart w:name="z3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 дорабатывает План мероприятий с учетом замечаний уполномоченного органа или при несогласии с ними представляет возражения.</w:t>
      </w:r>
    </w:p>
    <w:bookmarkEnd w:id="103"/>
    <w:bookmarkStart w:name="z3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для одобрения уполномоченным органом Плана мероприятий не превышает 5 (пяти) рабочих дней с даты, следующей за отчетным периодом.</w:t>
      </w:r>
    </w:p>
    <w:bookmarkEnd w:id="104"/>
    <w:bookmarkStart w:name="z3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просроченной задолженности по микрокредитам по основному долгу, начисленному вознаграждению свыше 90 (девяноста) календарных дней, до уровня менее или равного требуемому значению лимита микрофинансовой организацией направляется уведомление в уполномоченный орган не позднее 1 (одного) дня, следующего за отчетным периодом, в котором произошло фактическое снижение просроченной задолженности.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Пруденциальные нормативы дополнены пунктом 5-1 в соответствии с постановлением Правления Агентства РК по регулированию и развитию финансового рынка от 12.12.2022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01.01.23); в редакции постановления Правления Агентства РК по регулированию и развитию финансового рынка от 16.10.2025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Собственный капитал организации, осуществляющей микрофинансовую деятельность, рассчитывается как сумма:</w:t>
      </w:r>
    </w:p>
    <w:bookmarkEnd w:id="106"/>
    <w:bookmarkStart w:name="z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оплаченного уставного капитала;</w:t>
      </w:r>
    </w:p>
    <w:bookmarkEnd w:id="107"/>
    <w:bookmarkStart w:name="z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капитала;</w:t>
      </w:r>
    </w:p>
    <w:bookmarkEnd w:id="108"/>
    <w:bookmarkStart w:name="z7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нераспределенной чистой прибыли (убытка) прошлых лет (в том числе фонды, резервы, сформированные за счет чистого дохода прошлых лет);</w:t>
      </w:r>
    </w:p>
    <w:bookmarkEnd w:id="109"/>
    <w:bookmarkStart w:name="z7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размера нераспределенной чистой прибыли (убытка) отчетного периода;</w:t>
      </w:r>
    </w:p>
    <w:bookmarkEnd w:id="110"/>
    <w:bookmarkStart w:name="z7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размера переоценки основных средств;</w:t>
      </w:r>
    </w:p>
    <w:bookmarkEnd w:id="111"/>
    <w:bookmarkStart w:name="z7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субординированного долга в виде необеспеченного обязательства организации, осуществляющей микрофинансовую деятельность,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оффшорных территорий, не принявших обязательства по информационному обмену); </w:t>
      </w:r>
    </w:p>
    <w:bookmarkEnd w:id="112"/>
    <w:bookmarkStart w:name="z8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минусом:</w:t>
      </w:r>
    </w:p>
    <w:bookmarkEnd w:id="113"/>
    <w:bookmarkStart w:name="z8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нематериальных активов, за исключением лицензионного программного обеспечения, приобретенного для целей основной деятельности организации, осуществляющей микрофинансовую деятельность; </w:t>
      </w:r>
    </w:p>
    <w:bookmarkEnd w:id="114"/>
    <w:bookmarkStart w:name="z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 организации, осуществляющей микрофинансовую деятельность, в капитал других юридических лиц.</w:t>
      </w:r>
    </w:p>
    <w:bookmarkEnd w:id="115"/>
    <w:bookmarkStart w:name="z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Условиями отнесения необеспеченного обязательства к субординированному долгу является одновременное исполнение следующих условий:</w:t>
      </w:r>
    </w:p>
    <w:bookmarkEnd w:id="116"/>
    <w:bookmarkStart w:name="z8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срок, на который выпущено либо получено необеспеченное обязательство, составляет не менее 5 (пяти) лет;</w:t>
      </w:r>
    </w:p>
    <w:bookmarkEnd w:id="117"/>
    <w:bookmarkStart w:name="z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кредиторы не могут предъявить требование о досрочном погашении либо исполнении необеспеченного обязательства;</w:t>
      </w:r>
    </w:p>
    <w:bookmarkEnd w:id="118"/>
    <w:bookmarkStart w:name="z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необеспеченное обязательство может быть досрочно погашено либо исполнено по инициативе организации, осуществляющей микрофинансовую деятельность, при условии, что данное не приведет к снижению пруденциальных нормативов ниже значений, установленных Нормативами; </w:t>
      </w:r>
    </w:p>
    <w:bookmarkEnd w:id="119"/>
    <w:bookmarkStart w:name="z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ликвидации организации, осуществляющей микрофинансовую деятельность, необеспеченное обязательство удовлетворяется в последнюю очередь (перед распределением оставшегося имущества между участниками).</w:t>
      </w:r>
    </w:p>
    <w:bookmarkEnd w:id="120"/>
    <w:bookmarkStart w:name="z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Инвестиции организации, осуществляющей микрофинансовую деятельность, в капитал других юридических лиц представляют собой вложения организации, осуществляющей микрофинансовую деятельность в акции или доли участия в уставные капиталы юридических лиц. </w:t>
      </w:r>
    </w:p>
    <w:bookmarkEnd w:id="121"/>
    <w:bookmarkStart w:name="z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Максимальный размер риска на одного заемщика характеризуется коэффициентом k2 и рассчитывается как отношение размера риска микрофинансовой организации на одного заемщика по его обязательствам к собственному капиталу микрофинансовой организации.</w:t>
      </w:r>
    </w:p>
    <w:bookmarkEnd w:id="122"/>
    <w:bookmarkStart w:name="z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k2 не превышает 0,25.</w:t>
      </w:r>
    </w:p>
    <w:bookmarkEnd w:id="123"/>
    <w:bookmarkStart w:name="z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риска на одного заемщика микрофинансовой организации рассчитывается как сумма:</w:t>
      </w:r>
    </w:p>
    <w:bookmarkEnd w:id="124"/>
    <w:bookmarkStart w:name="z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микрофинансовой организации к заемщику в виде микрокредитов и дебиторской задолженности;</w:t>
      </w:r>
    </w:p>
    <w:bookmarkEnd w:id="125"/>
    <w:bookmarkStart w:name="z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микрофинансовой организации к заемщику, списанных с баланса микрофинансовой организации; </w:t>
      </w:r>
    </w:p>
    <w:bookmarkEnd w:id="126"/>
    <w:bookmarkStart w:name="z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 суммы фактически созданных провизий по выданным микрокредитам, а также обеспечения по обязательствам заемщика в виде: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аффинированных драгоценных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металлов</w:t>
      </w:r>
      <w:r>
        <w:rPr>
          <w:rFonts w:ascii="Times New Roman"/>
          <w:b w:val="false"/>
          <w:i w:val="false"/>
          <w:color w:val="000000"/>
          <w:sz w:val="28"/>
        </w:rPr>
        <w:t>, соответствующих международным стандартам качества, принятым Лондонской ассоциацией рынка драгоценных металлов (London billion market association) и обозначенным в документах данной ассоциации как стандарт "Лондонская качественная поставка" ("London good delivery");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банков, имеющих долгосрочный долговой рейтинг не ниже "А" агентства Standard &amp; Poor's или рейтинг аналогичного уровня одного из других рейтинговых агентств.</w:t>
      </w:r>
    </w:p>
    <w:bookmarkStart w:name="z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случаях, когда общий объем требований микрофинансовой организации к заемщику на дату их возникновения находился в пределах ограничений, установленных Нормативами, но впоследствии превысил указанные ограничения в связи со снижением уровня собственного капитала микрофинансовой организации не более чем на 5 (пять) процентов в течение последних 3 (трех) месяцев, норматив максимального размера риска на одного заемщика считается выполненным.</w:t>
      </w:r>
    </w:p>
    <w:bookmarkEnd w:id="128"/>
    <w:bookmarkStart w:name="z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случаях, микрофинансовая организация в течение дня, следующего за днем возникновения вышеуказанного превышения, информирует уполномоченный орган по регулированию, контролю и надзору финансового рынка и финансовых организаций о факте превышения ограничений и принимает обязательства по устранению превышения в течение текущего и последующего месяцев. Если данное превышение не устраняется микрофинансовой организацией в указанный срок,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</w:t>
      </w:r>
    </w:p>
    <w:bookmarkEnd w:id="129"/>
    <w:bookmarkStart w:name="z9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Капитализация микрофинансовой организации, кредитного товарищества к обязательствам характеризуется коэффициентом левереджа k3 и рассчитывается как отношение суммы совокупных обязательств микрофинансовой организации, кредитного товарищества к собственному капиталу.</w:t>
      </w:r>
    </w:p>
    <w:bookmarkEnd w:id="130"/>
    <w:bookmarkStart w:name="z2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k3 не превышает 10.</w:t>
      </w:r>
    </w:p>
    <w:bookmarkEnd w:id="131"/>
    <w:bookmarkStart w:name="z2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k3 для кредитного товарищества из совокупных обязательств кредитного товарищества исключаются обязательства перед национальными управляющими холдингами и дочерними организациями национального управляющего холдинга в сфере агропромышленного комплекса.";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Коэффициент долга к доходу заемщика организации, осуществляющей микрофинансовую деятельность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Правления Агентства РК по регулированию и развитию финансового рынка от 16.10.2025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Пруденциальные нормативы дополнены главой 4 в соответствии с постановлением Правления Агентства РК по регулированию и развитию финансового рынка от 16.08.2024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20.08.2024).</w:t>
      </w:r>
    </w:p>
    <w:bookmarkStart w:name="z3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Микрофинансовая организация осуществляет расчет коэффициента долга к доходу заемщика до принятия решения о (об):</w:t>
      </w:r>
    </w:p>
    <w:bookmarkEnd w:id="134"/>
    <w:bookmarkStart w:name="z3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заемщику микрокредита, за исключением выдачи микрокредита (части микрокредита) в рамках открытой заемщику кредитной линии;</w:t>
      </w:r>
    </w:p>
    <w:bookmarkEnd w:id="135"/>
    <w:bookmarkStart w:name="z3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открытии кредитной линии заемщику (установлении кредитного лимита);</w:t>
      </w:r>
    </w:p>
    <w:bookmarkEnd w:id="136"/>
    <w:bookmarkStart w:name="z3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заемщику дополнительного микрокредита в рамках заключенного (заключенных) договора (договоров) о предоставлении микрокредита.</w:t>
      </w:r>
    </w:p>
    <w:bookmarkEnd w:id="137"/>
    <w:bookmarkStart w:name="z3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пункта 13 Нормативов распространяются на микрокредиты, предоставленные заемщикам на приобретение товаров, работ и услуг, не связанных с осуществлением предпринимательской деятельности.</w:t>
      </w:r>
    </w:p>
    <w:bookmarkEnd w:id="138"/>
    <w:bookmarkStart w:name="z3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коэффициента долга к доходу заемщика осуществляется микрофинансовой организацией следующим образом: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353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0"/>
    <w:bookmarkStart w:name="z30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КДД - коэффициент долга к доходу заемщика;</w:t>
      </w:r>
    </w:p>
    <w:bookmarkEnd w:id="141"/>
    <w:bookmarkStart w:name="z3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СЗНЗ – сумма задолженности по всем непогашенным займам и микрокредитам заемщика;</w:t>
      </w:r>
    </w:p>
    <w:bookmarkEnd w:id="142"/>
    <w:bookmarkStart w:name="z30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СЗНЗ – рассчитывается как совокупная сумма задолженности по всем непогашенным займам и микрокредитам заемщика, включая суммы просроченных платежей по всем непогашенным займам и микрокредитам, суммы по использованной части кредитного лимита по кредитной карте, а также по платежной карте, условиями которой предусмотрено кредитование заемщика в рамках кредитного лимита, а также 10 (десять) процентов от неиспользованной части кредитного лимита, кредитной карты или платежной карты, условиями которых предусмотрено кредитование заемщика в рамках кредитного лимита;</w:t>
      </w:r>
    </w:p>
    <w:bookmarkEnd w:id="143"/>
    <w:bookmarkStart w:name="z3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СНЗ – сумма по новой задолженности заемщика, возникающей в случаях, предусмотренных пунктом 13 Нормативов;</w:t>
      </w:r>
    </w:p>
    <w:bookmarkEnd w:id="144"/>
    <w:bookmarkStart w:name="z31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СГДЗ – совокупный годовой доход заемщика, который рассчитывается как среднемесячная сумма заработной платы и (или) иных видов доходов заемщика, определенных на основании критериев, указанных в части второй пункта 6 Правил расчета и предельного значения коэффициента долговой нагрузки заемщика организации, осуществляющей микрофинансовую деятельность,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215, зарегистрированных в Реестре государственной регистрации нормативных правовых актов под № 19670, за последние 6 (шесть) месяцев, предшествующих дате обращения заемщика умноженная на 12.</w:t>
      </w:r>
    </w:p>
    <w:bookmarkEnd w:id="145"/>
    <w:bookmarkStart w:name="z34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Коэффициент долговой нагрузки заемщика организации, осуществляющей микрофинансовую деятельность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Пруденциальные нормативы дополнены главой 5 в соответствии с постановлением Правления Агентства РК по регулированию и развитию финансового рынка от 16.10.2025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расчета и предельное значение коэффициента долговой нагрузки заемщика установлены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215 "Об утверждении Правил расчета и предельного значения коэффициента долговой нагрузки заемщика организации, осуществляющей микрофинансовую деятельность", (зарегистрированным в Реестре государственной регистрации нормативных правовых актов под № 19670).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Пруденциальным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 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микрофинансовую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лимитам, методике их расчетов</w:t>
            </w:r>
          </w:p>
        </w:tc>
      </w:tr>
    </w:tbl>
    <w:bookmarkStart w:name="z27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микрофинансовой организации, взвешенных по степени кредитного риска вложений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Пруденциальные нормативы дополнены приложением в соответствии с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международных финансовых организациях с долговым рейтингом не ниже "АА-" агентства Standard &amp; Poor's (Стандард энд Пурс) или рейтингом аналогичного уровня одного из других рейтинговых агентств, вклады в Евразийском банке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Астаны,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акционерным обществом "Банк Развития Казахстана"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рынке ценных бумаг",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Астаны,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микрофинансовой организацией на балансе и имеющие кредитный рейтинг от "ААА" до "АА-" агентства Standard &amp; Poor's (Стандард энд Пурс)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обеспеченные залогом, выданные на цели, связанные с осуществлением предпринимательской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субъектами, отнесенными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выпуска ценных бумаг – тенге.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микрофинансовой организацией на балансе и имеющие кредитный рейтинг от "А+" до "А-" агентства Standard &amp; Poor's (Стандард энд Пурс)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микрокредиты, выданные на цели, связанные с осуществлением предпринимательской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микрокредиты, обеспеченные залогом автотранспортного средства, полностью покрывающим сумму выданного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микрофинансовой организацией на балансе, и имеющие кредитный рейтинг от "ВВВ+" до "ВВВ-" агентства Standard &amp; Poor's (Стандард энд Пурс)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Потребительские микрокредиты, в том числе микрокредиты, выданные на условиях, соответствующих пункту 4-1 приложения 2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микрокредита", зарегистрированному в Реестре государственной регистрации нормативных правовых актов под № 19697 (далее - Постановление № 232), обеспеченные залогом, полностью покрывающим сумму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микрокредиты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микрокредиты, выданные на условиях, соответствующих пункту 4-1 приложения 2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№ 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(доли участия в уставном капитале), не превышающие 15 (пятнадцати) процентов от величины собственного капитала организаций (резидентов и нерезидентов Республики Казахстан): оказывающих услуги по предоставлению возможности оказания финансовых и (или) платежных услуг с использованием искусственного интеллекта, блокчейн и других инновационных технологий,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интернет, осуществляющих разработку, реализацию, поддержку программного обеспечения, используемого в деятельности финансовых организаций, в том числе для автоматизации их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(доли участия в уставном капитале), превышающие 15 (пятнадцать) процентов от величины собственного капитала организаций (резидентов и нерезидентов Республики Казахстан): оказывающих услуги по предоставлению возможности оказания финансовых и (или) платежных услуг с использованием искусственного интеллекта, блокчейн и других инновационных технологий,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интернет, осуществляющих разработку, реализацию, поддержку программного обеспечения, используемого в деятельности финансовых организаций, в том числе для автоматизации их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Острова Теркс и Кайкос; Остров Мэн; 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Острова Теркс и Кайкос; Остров Мэн; 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микрофинансовой организацией на балансе и имеющие кредитный рейтинг от "ВВ+" до "ВВ-" агентства Standard &amp; Poor's (Стандард энд Пурс)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2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микрофинансовой организации, подлежащих взвешиванию по степени кредитного риска вложений</w:t>
      </w:r>
    </w:p>
    <w:bookmarkEnd w:id="149"/>
    <w:bookmarkStart w:name="z2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Активы, подлежащие взвешиванию по степени кредитного риска вложений, включаются по балансу микрофинансовой организации, за вычетом провизий (резервов), сформированных в соответствии с Правилами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62, зарегистрированным в Реестре государственной регистрации нормативных правовых актов под № 16858.</w:t>
      </w:r>
    </w:p>
    <w:bookmarkEnd w:id="150"/>
    <w:bookmarkStart w:name="z3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Вклады, дебиторская задолженность, приобретенные ценные бумаги, по которым у микрофинансовой организации имеется обеспечение (в виде активов, указанных в строках 1, 2, 3, 4, 5, 6, 7, 8, 9, 10 и 11 Таблицы активов микрофинансовой организации, взвешенных по степени кредитного риска вложений (далее – Таблица), скорректированная стоимость которого составляет не менее 50 (пятидесяти) процентов объема указанных активов, при наличии у микрофинансовой организации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кредитного риска вложений, за минусом скорректированной стоимости обеспечения.</w:t>
      </w:r>
    </w:p>
    <w:bookmarkEnd w:id="151"/>
    <w:bookmarkStart w:name="z3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4, 5, 6, 7, 8, 9, 10 и 11 Таблицы) равняется:</w:t>
      </w:r>
    </w:p>
    <w:bookmarkEnd w:id="152"/>
    <w:bookmarkStart w:name="z3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предоставленных в качестве обеспечения;</w:t>
      </w:r>
    </w:p>
    <w:bookmarkEnd w:id="153"/>
    <w:bookmarkStart w:name="z3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154"/>
    <w:bookmarkStart w:name="z3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155"/>
    <w:bookmarkStart w:name="z3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156"/>
    <w:bookmarkStart w:name="z3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гарантированные (застрахованные) организациями, имеющими степень риска ниже контрагента, включаются в расчет активов, взвешенных по степени кредитного риска вложений (за минусом гарантированной (застрахованной) суммы вкладов, дебиторской задолженности, приобретенных ценных бумаг) по степени риска должника.</w:t>
      </w:r>
    </w:p>
    <w:bookmarkEnd w:id="157"/>
    <w:bookmarkStart w:name="z3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 взвешивается по степени риска дебиторской задолженности соответствующего гаранта (страховщика).</w:t>
      </w:r>
    </w:p>
    <w:bookmarkEnd w:id="158"/>
    <w:bookmarkStart w:name="z3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ценная бумага имеет специальный долговой рейтинг выпуска, то при взвешивании активов микрофинансовой организации по степени кредитного риска вложений необходимо учитывать рейтинг ценной бумаги.</w:t>
      </w:r>
    </w:p>
    <w:bookmarkEnd w:id="159"/>
    <w:bookmarkStart w:name="z3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Активы, указанные в строке 54 Таблицы, включают потребительские микрокредиты, в том числе микрокредиты, выданные на условиях, соответствующих пункту 4-1 приложения 2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19697), обеспеченные залогом, полностью покрывающим сумму микрокредита, за исключением потребительских микрокредитов, обеспеченных залогом автотранспортного средства, полностью покрывающим сумму выданного микрокредита.</w:t>
      </w:r>
    </w:p>
    <w:bookmarkEnd w:id="160"/>
    <w:bookmarkStart w:name="z3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Активы, указанные в строке 55 Таблицы, включают беззалоговые потребительские микрокредиты, за исключением беззалоговых микрокредитов, выданных на условиях, соответствующих пункту 4-1 приложения 2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