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2a13" w14:textId="4712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27 сентября 2018 года № 1455 "Об утверждении типового договора страхования профессиональной ответственности адвокатов"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ноября 2019 года № 539. Зарегистрирован в Министерстве юстиции Республики Казахстан 13 ноября 2019 года № 19587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2018 года № 1455 "Об утверждении типового договора страхования профессиональной ответственности адвокатов" (зарегистрирован в Реестре государственной регистрации нормативных правовых актов № 17514, опубликован от 18 октября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страхования профессиональной ответственности адвокатов,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Страховой интерес – имущественный интерес страхователя (застрахованного, выгодоприобретателя) в предотвращении рисков и недопущении наступления страхового случая, за исключением событий, которые могут быть предусмотрены по договору накопительного страхования.";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 профессиональными ошибками понимаются: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процессуальных сроков;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неправильное оформление документов;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неизвещение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или порча документов, полученных Страхователем (Застрахованным лицом) от клиента для оказания юридической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неправомерное разглашение сведений, составляющих адвокатскую тайну.";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Доказывание наступления страхового случая, а также причиненных им убытков лежит на страхователе (выгодоприобретателе, застрахованном).".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