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2a13" w14:textId="4712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27 сентября 2018 года № 1455 "Об утверждении типового договора страхования профессиональной ответственности адвокатов"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ноября 2019 года № 539. Зарегистрирован в Министерстве юстиции Республики Казахстан 13 ноября 2019 года № 19587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сентября 2018 года № 1455 "Об утверждении типового договора страхования профессиональной ответственности адвокатов" (зарегистрирован в Реестре государственной регистрации нормативных правовых актов № 17514, опубликован от 18 октября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договоре страхования профессиональной ответственности адвокатов,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Страховой интерес – имущественный интерес страхователя (застрахованного, выгодоприобретателя) в предотвращении рисков и недопущении наступления страхового случая, за исключением событий, которые могут быть предусмотрены по договору накопительного страхования.";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Под профессиональными ошибками понимаются: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 процессуальных сроков;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неправильное оформление документов;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неизвещение лица, которому в соответствии с договором оказывается юридическая помощь, о последствиях совершаемых юридических действий, повлекших причинение ему вреда;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утрата или порча документов, полученных Страхователем (Застрахованным лицом) от клиента для оказания юридической помощи;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неправомерное разглашение сведений, составляющих адвокатскую тайну.";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Доказывание наступления страхового случая, а также причиненных им убытков лежит на страхователе (выгодоприобретателе, застрахованном).".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