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35303" w14:textId="c0353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здравоохранения и Министра здравоохранения и социального развития в области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5 ноября 2019 года № ҚР ДСМ-140. Зарегистрирован в Министерстве юстиции Республики Казахстан 6 ноября 2019 года № 19555.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июня 2019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23,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Кодекса Республики Казахстан от 18 сентября 2009 года "О здоровье народа и системе здравоохранения",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в области здравоохранения, в которые вносятся изменения и дополнения (далее - Перечень)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координации обязательного социального медицинского страхования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1),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Актаеву Л. М.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июня 2019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обязанности Министра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5 ноября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ДСМ-140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в области здравоохранения, в которые вносятся изменения и дополнения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приказом Министра здравоохранения РК от 21.12.2020 </w:t>
      </w:r>
      <w:r>
        <w:rPr>
          <w:rFonts w:ascii="Times New Roman"/>
          <w:b w:val="false"/>
          <w:i w:val="false"/>
          <w:color w:val="ff0000"/>
          <w:sz w:val="28"/>
        </w:rPr>
        <w:t>№ ҚР ДСМ-309/2020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29 мая 2015 года № 429 "Об утверждении Правил поощрения работников субъектов здравоохранения, оказывающих медицинские услуги в рамках гарантированного объема бесплатной медицинской помощи и в системе обязательного социального медицинского страхования" (зарегистрирован в Реестре государственной регистрации нормативных правовых актов Республики Казахстан под № 11526, опубликован в информационно-правовой системе "Әділет" 22 июля 2015 года):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поощрения работников субъектов здравоохранения, оказывающих медицинские услуги в рамках гарантированного объема бесплатной медицинской помощи и в системе обязательного социального медицинского страхования, утвержденных указанных приказом: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"работники (врачи и средний медицинский персонал, в том числе школьная медицинская сестра) отделения профилактики и социально-психологической помощи Центра семейного здоровья;";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Комитет контроля качества и безопасности товаров и услуг Министерства здравоохранения Республики Казахстан (далее – КККБТУ) и (или) его территориальные подразделения (далее - ТД КККБТУ).";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43-1следующего содержания: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"43-1. Врач территориального участка при формировании представления,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определяет соотношение распределения суммы СКПН между работниками с учетом следующих пороговых значений от суммы СКПН, автоматически рассчитанной до уровня территориального участка субъекта ПМСП за отчетный период согласно Методике в ДКПН: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врачу территориального участка (врач общей практики, участковый терапевт, участковый педиатр) в соотношении не менее 30% и не более 45% на одну занимаемую ставку;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участковые медицинские сестры общей практики, терапевтического участка и педиатрического участка в соотношении не менее 10% и не более 30% на одну занимаемую ставку;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социальному работники и психологу в соотношении не менее 2% и не более 4%;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акушер-гинекологу и (или) акушерке в соотношении не менее 2% и не более 5%.";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Представление о поощрении на старшую медицинскую сестру и старшую акушерку за достижение индикаторов конечного результата в виде представления о поощрении на заведующего / старшую медицинскую сестру отделений общей врачебной практики и (или) участковой службы за достижение индикаторов конечного результата деятельности субъекта здравоохранения, оказывающего первичную медико-санитарную помощь по форме согласно приложению 7 к настоящим Правилам формирует заведующий отделением который осуществляет координацию деятельности за достижением объема и качества оказываемых услуг данным работником, находящимся в его подчинении.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суммы СКПН старшей медицинской сестре отделения общей врачебной практики или участковой службы, старшей акушерке акушерско-гинекологических отделений (кабинетов) осуществляется от средней суммы СКПН участковых медицинских сестер курируемого отделения в соотношении не менее 1,0 и не более 1,25, определенном заведующим отделением, у которого данный работник находится в подчинении.";</w:t>
      </w:r>
    </w:p>
    <w:bookmarkEnd w:id="23"/>
    <w:bookmarkStart w:name="z3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"/>
    <w:bookmarkStart w:name="z3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"Расчет суммы СКПН заведующему отделением общей врачебной практики или участковой службы, заведующему акушерско-гинекологическим отделением (кабинетами) осуществляется от средней суммы СКПН врачебного персонала курируемого отделения в соотношении не менее 1,0 и не более 1,25, определенном руководителем субъекта ПМСП или его заместителем."; 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"47. Размер суммы СКПН руководителю самостоятельного Центра семейного здоровья или врачебной амбулатории определяется по решению комиссии в соотношении не менее 1,0 и не более 1,25 от средней суммы СКПН врачебного персонала субъекта ПМСП и оформляется комиссией в виде протокола об определении размера поощрения руководителю самостоятельного Центра семейного здоровья или врачебной амбулатории за достижение индикаторов конечного результата деятельности субъекта здравоохранения, оказывающего первичную медико-санитарную помощь, по форме согласно приложению 9 к настоящим Правилам.";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пятым следующего содержания: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"отсутствия нарушений по результатам проведенной экспертизы по контролю качества медицинских услуг территориальными подразделениями ФСМС.";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поощрения работников субъектов здравоохранения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приказом Министра здравоохранения РК от 27.11.2020 </w:t>
      </w:r>
      <w:r>
        <w:rPr>
          <w:rFonts w:ascii="Times New Roman"/>
          <w:b w:val="false"/>
          <w:i w:val="false"/>
          <w:color w:val="000000"/>
          <w:sz w:val="28"/>
        </w:rPr>
        <w:t>№ ҚР ДСМ-210/2020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поощрения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</w:p>
        </w:tc>
      </w:tr>
    </w:tbl>
    <w:bookmarkStart w:name="z7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деятельности медицинских работников субъекта здравоохранения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"/>
        <w:gridCol w:w="2264"/>
        <w:gridCol w:w="8717"/>
        <w:gridCol w:w="760"/>
      </w:tblGrid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обоснованных письменных и устных жалоб, связанных с нарушением прав пациентов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приема посетителей руководителем организации, журнал учета письменных обращений граждан, обращения на блог Министра здравоохранения Республики Казахстан, проверочные листы и акты КККБТУ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случаев предотвратимых летальных исходов, осложнений, возникших в результате лечения и диагностики, в том числе, повлекшие инвалидность пациента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карты стационарного больного, заключение заведующего отделением или комиссии, утвержденное руководителем службы поддержки пациента и внутреннего контроля (аудита), акты экспертной проверки, протоколы заседания КИЛИ* и проверочные листы и акты КККБТУ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нарушений по результатам государственного контроля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Проверочные листы и акты проверки КККБТУ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случаев (подтвержденных экспертизой) повторного незапланированного поступления пациентов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регистр стационарных больных Случаи повторной госпитализации, в течение одного месяца от даты выписки по поводу одного и того же заболевания, в данный и другие стационары Республики Казахстан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случаев расхождения клинического и патологоанатомического диагнозов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патологоанатомического исследования и протокол заседания патологоанатомической конференции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высокотехнологических медицинских услуг (далее – ВТМУ)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регистр стационарных больных Количество выполненных ВТМУ в отчетном периоде в сравнении с аналогичным периодом предыдущего года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конверсии мазка мокроты в процессе лечения у больных с бактериовыделением **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карта больного туберкулезом, Национальный регистр больных туберкулезом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пропусков приема противотуберкулезных препаратов у больных туберкулезом **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карта больного туберкулезом, Национальный регистр больных туберкулезом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Случаи выполненных абортов в возрасте до 18 лет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Электронный регистр стационарных больных: форма № 066/у статистическая карта выбывшего из стационара, утвержденная приказом и.о.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(далее – ЭРСБ: форма № 066/у);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информационная система – Поликлиника: форма 025-5/у медицинская карта амбулаторного пациента, утвержденная приказом и.о.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</w:t>
            </w:r>
          </w:p>
          <w:bookmarkEnd w:id="31"/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Меньше 2.7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госпитализации больных из числа прикрепленного населения, госпитализированных с осложнениями сахарного диабета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ЭРСБ: форма № 066/у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госпитализации больных из числа прикрепленного населения, госпитализированных с хронической верифицированной железодефицитной анемией</w:t>
            </w:r>
          </w:p>
        </w:tc>
        <w:tc>
          <w:tcPr>
            <w:tcW w:w="8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ЭРСБ: форма № 066/у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</w:tbl>
    <w:bookmarkStart w:name="z7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случаев, подлежащих оплате за фактически понесенные расходы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приказом Министра здравоохранения РК от 27.11.2020 </w:t>
      </w:r>
      <w:r>
        <w:rPr>
          <w:rFonts w:ascii="Times New Roman"/>
          <w:b w:val="false"/>
          <w:i w:val="false"/>
          <w:color w:val="ff0000"/>
          <w:sz w:val="28"/>
        </w:rPr>
        <w:t>№ ҚР ДСМ-210/2020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некоторых приказов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</w:tbl>
    <w:bookmarkStart w:name="z7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случаев, подлежащих оплате по стоимости клинико-затратных групп с оплатой дополнительных расходов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утратило силу приказом Министра здравоохранения РК от 27.11.2020 </w:t>
      </w:r>
      <w:r>
        <w:rPr>
          <w:rFonts w:ascii="Times New Roman"/>
          <w:b w:val="false"/>
          <w:i w:val="false"/>
          <w:color w:val="ff0000"/>
          <w:sz w:val="28"/>
        </w:rPr>
        <w:t>№ ҚР ДСМ-210/2020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