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70ea" w14:textId="fe57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7 октября 2019 года № 165. Зарегистрировано в Министерстве юстиции Республики Казахстан 11 октября 2019 года № 19469.</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рынка ценных бумаг,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развития небанковских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2019 года № 165</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рынка ценных бумаг,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организации торговли с ценными бумагами и иными финансовыми инструментами" (зарегистрировано в Реестре государственной регистрации нормативных правовых актов под № 5406, опубликовано 14 января 2009 года в газете "Юридическая газета" № 5 (1602) следующие изменения и дополнения: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организации торговли с ценными бумагами и иными финансовыми инструментами,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p>
    <w:bookmarkStart w:name="z19" w:id="12"/>
    <w:p>
      <w:pPr>
        <w:spacing w:after="0"/>
        <w:ind w:left="0"/>
        <w:jc w:val="both"/>
      </w:pPr>
      <w:r>
        <w:rPr>
          <w:rFonts w:ascii="Times New Roman"/>
          <w:b w:val="false"/>
          <w:i w:val="false"/>
          <w:color w:val="000000"/>
          <w:sz w:val="28"/>
        </w:rPr>
        <w:t>
      "4) система фондовой биржи для контроля целевого размещения (система контроля) - программно-технический комплекс фондовой биржи, позволяющий подключенным к нему лицам:</w:t>
      </w:r>
    </w:p>
    <w:bookmarkEnd w:id="12"/>
    <w:bookmarkStart w:name="z20" w:id="13"/>
    <w:p>
      <w:pPr>
        <w:spacing w:after="0"/>
        <w:ind w:left="0"/>
        <w:jc w:val="both"/>
      </w:pPr>
      <w:r>
        <w:rPr>
          <w:rFonts w:ascii="Times New Roman"/>
          <w:b w:val="false"/>
          <w:i w:val="false"/>
          <w:color w:val="000000"/>
          <w:sz w:val="28"/>
        </w:rPr>
        <w:t>
      определять лимиты для брокера уполномоченного заключать сделки от имени клиента подключенного лица;</w:t>
      </w:r>
    </w:p>
    <w:bookmarkEnd w:id="13"/>
    <w:bookmarkStart w:name="z21" w:id="14"/>
    <w:p>
      <w:pPr>
        <w:spacing w:after="0"/>
        <w:ind w:left="0"/>
        <w:jc w:val="both"/>
      </w:pPr>
      <w:r>
        <w:rPr>
          <w:rFonts w:ascii="Times New Roman"/>
          <w:b w:val="false"/>
          <w:i w:val="false"/>
          <w:color w:val="000000"/>
          <w:sz w:val="28"/>
        </w:rPr>
        <w:t>
      подтверждать сделки, заключенные уполномоченным брокером от имени клиента кастодиана, в случае если расчет по таким сделкам осуществляется в режиме реального времени и без использования услуг клиринговой организации;</w:t>
      </w:r>
    </w:p>
    <w:bookmarkEnd w:id="14"/>
    <w:bookmarkStart w:name="z22" w:id="15"/>
    <w:p>
      <w:pPr>
        <w:spacing w:after="0"/>
        <w:ind w:left="0"/>
        <w:jc w:val="both"/>
      </w:pPr>
      <w:r>
        <w:rPr>
          <w:rFonts w:ascii="Times New Roman"/>
          <w:b w:val="false"/>
          <w:i w:val="false"/>
          <w:color w:val="000000"/>
          <w:sz w:val="28"/>
        </w:rPr>
        <w:t>
      принимать на расчеты сделки, заключенные брокером по поручению клиента кастодиана;";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следующей редакции:</w:t>
      </w:r>
    </w:p>
    <w:bookmarkStart w:name="z24" w:id="16"/>
    <w:p>
      <w:pPr>
        <w:spacing w:after="0"/>
        <w:ind w:left="0"/>
        <w:jc w:val="both"/>
      </w:pPr>
      <w:r>
        <w:rPr>
          <w:rFonts w:ascii="Times New Roman"/>
          <w:b w:val="false"/>
          <w:i w:val="false"/>
          <w:color w:val="000000"/>
          <w:sz w:val="28"/>
        </w:rPr>
        <w:t>
      "2) своевременно и полностью исполняют свои обязательства перед расчетными организациями фондовой биржи путем поставки активов для исполнения заключенных ими сделок с финансовыми инструментами на организованном рынке ценных бумаг, а также иные обязательства в соответствии с законодательством Республики Казахстан о рынке ценных бумаг и внутренними документами фондовой биржи;";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исключить;</w:t>
      </w:r>
    </w:p>
    <w:bookmarkStart w:name="z26" w:id="17"/>
    <w:p>
      <w:pPr>
        <w:spacing w:after="0"/>
        <w:ind w:left="0"/>
        <w:jc w:val="both"/>
      </w:pPr>
      <w:r>
        <w:rPr>
          <w:rFonts w:ascii="Times New Roman"/>
          <w:b w:val="false"/>
          <w:i w:val="false"/>
          <w:color w:val="000000"/>
          <w:sz w:val="28"/>
        </w:rPr>
        <w:t>
      дополнить пунктом 36-1 следующего содержания:</w:t>
      </w:r>
    </w:p>
    <w:bookmarkEnd w:id="17"/>
    <w:bookmarkStart w:name="z27" w:id="18"/>
    <w:p>
      <w:pPr>
        <w:spacing w:after="0"/>
        <w:ind w:left="0"/>
        <w:jc w:val="both"/>
      </w:pPr>
      <w:r>
        <w:rPr>
          <w:rFonts w:ascii="Times New Roman"/>
          <w:b w:val="false"/>
          <w:i w:val="false"/>
          <w:color w:val="000000"/>
          <w:sz w:val="28"/>
        </w:rPr>
        <w:t xml:space="preserve">
      "36-1. Операции,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36 Правил заключаются с использованием услуг центрального контрагента и (или) без использования услуг центрального контрагента.";</w:t>
      </w:r>
    </w:p>
    <w:bookmarkEnd w:id="18"/>
    <w:bookmarkStart w:name="z28"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19"/>
    <w:bookmarkStart w:name="z29" w:id="20"/>
    <w:p>
      <w:pPr>
        <w:spacing w:after="0"/>
        <w:ind w:left="0"/>
        <w:jc w:val="both"/>
      </w:pPr>
      <w:r>
        <w:rPr>
          <w:rFonts w:ascii="Times New Roman"/>
          <w:b w:val="false"/>
          <w:i w:val="false"/>
          <w:color w:val="000000"/>
          <w:sz w:val="28"/>
        </w:rPr>
        <w:t>
      "Глава 10. Система фондовой биржи для контроля целевого размещения";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"52. Внутренние документы фондовой биржи определяют порядок и процедуры, позволяющие кастодиану контролировать целевое размещение активов единого накопительного пенсионного фонда, добровольного накопительного пенсионного фонда, инвестиционного фонда, специальной финансовой компании Республики Казахстан.</w:t>
      </w:r>
    </w:p>
    <w:bookmarkEnd w:id="21"/>
    <w:bookmarkStart w:name="z32" w:id="22"/>
    <w:p>
      <w:pPr>
        <w:spacing w:after="0"/>
        <w:ind w:left="0"/>
        <w:jc w:val="both"/>
      </w:pPr>
      <w:r>
        <w:rPr>
          <w:rFonts w:ascii="Times New Roman"/>
          <w:b w:val="false"/>
          <w:i w:val="false"/>
          <w:color w:val="000000"/>
          <w:sz w:val="28"/>
        </w:rPr>
        <w:t xml:space="preserve">
      53. Кастодианы, обслуживающие единый накопительный пенсионный фонд, добровольные накопительные пенсионные фонды, инвестиционные фонды, специальные финансовые компании Республики Казахстан, осуществляют контроль за целевым размещением (использованием) активов указанных клиентов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от 2 июля 2003 года "О рынке ценных бумаг".</w:t>
      </w:r>
    </w:p>
    <w:bookmarkEnd w:id="22"/>
    <w:bookmarkStart w:name="z33" w:id="23"/>
    <w:p>
      <w:pPr>
        <w:spacing w:after="0"/>
        <w:ind w:left="0"/>
        <w:jc w:val="both"/>
      </w:pPr>
      <w:r>
        <w:rPr>
          <w:rFonts w:ascii="Times New Roman"/>
          <w:b w:val="false"/>
          <w:i w:val="false"/>
          <w:color w:val="000000"/>
          <w:sz w:val="28"/>
        </w:rPr>
        <w:t>
      54. Система контроля фондовой биржи в целях целевого размещения активов позволяет кастодиану использовать один из следующих механизмов:</w:t>
      </w:r>
    </w:p>
    <w:bookmarkEnd w:id="23"/>
    <w:bookmarkStart w:name="z34" w:id="24"/>
    <w:p>
      <w:pPr>
        <w:spacing w:after="0"/>
        <w:ind w:left="0"/>
        <w:jc w:val="both"/>
      </w:pPr>
      <w:r>
        <w:rPr>
          <w:rFonts w:ascii="Times New Roman"/>
          <w:b w:val="false"/>
          <w:i w:val="false"/>
          <w:color w:val="000000"/>
          <w:sz w:val="28"/>
        </w:rPr>
        <w:t>
      1) подтверждение сделок, заключенных брокером от имени клиента кастодиана, в случае если расчет по таким сделкам осуществляется в режиме реального времени и без использования услуг клиринговой организации;</w:t>
      </w:r>
    </w:p>
    <w:bookmarkEnd w:id="24"/>
    <w:bookmarkStart w:name="z35" w:id="25"/>
    <w:p>
      <w:pPr>
        <w:spacing w:after="0"/>
        <w:ind w:left="0"/>
        <w:jc w:val="both"/>
      </w:pPr>
      <w:r>
        <w:rPr>
          <w:rFonts w:ascii="Times New Roman"/>
          <w:b w:val="false"/>
          <w:i w:val="false"/>
          <w:color w:val="000000"/>
          <w:sz w:val="28"/>
        </w:rPr>
        <w:t>
      2) прием на расчеты сделок, заключенных брокером по поручению клиента кастодиана;</w:t>
      </w:r>
    </w:p>
    <w:bookmarkEnd w:id="25"/>
    <w:bookmarkStart w:name="z36" w:id="26"/>
    <w:p>
      <w:pPr>
        <w:spacing w:after="0"/>
        <w:ind w:left="0"/>
        <w:jc w:val="both"/>
      </w:pPr>
      <w:r>
        <w:rPr>
          <w:rFonts w:ascii="Times New Roman"/>
          <w:b w:val="false"/>
          <w:i w:val="false"/>
          <w:color w:val="000000"/>
          <w:sz w:val="28"/>
        </w:rPr>
        <w:t>
      3) определение лимитов для брокера, уполномоченного заключать сделки от имени клиента кастодиана.";</w:t>
      </w:r>
    </w:p>
    <w:bookmarkEnd w:id="26"/>
    <w:bookmarkStart w:name="z37" w:id="27"/>
    <w:p>
      <w:pPr>
        <w:spacing w:after="0"/>
        <w:ind w:left="0"/>
        <w:jc w:val="both"/>
      </w:pPr>
      <w:r>
        <w:rPr>
          <w:rFonts w:ascii="Times New Roman"/>
          <w:b w:val="false"/>
          <w:i w:val="false"/>
          <w:color w:val="000000"/>
          <w:sz w:val="28"/>
        </w:rPr>
        <w:t>
      дополнить пунктом 54-1 следующего содержания:</w:t>
      </w:r>
    </w:p>
    <w:bookmarkEnd w:id="27"/>
    <w:bookmarkStart w:name="z38" w:id="28"/>
    <w:p>
      <w:pPr>
        <w:spacing w:after="0"/>
        <w:ind w:left="0"/>
        <w:jc w:val="both"/>
      </w:pPr>
      <w:r>
        <w:rPr>
          <w:rFonts w:ascii="Times New Roman"/>
          <w:b w:val="false"/>
          <w:i w:val="false"/>
          <w:color w:val="000000"/>
          <w:sz w:val="28"/>
        </w:rPr>
        <w:t>
      "54-1. Сделки с финансовыми инструментами, которые не были подтверждены кастодианом или не приняты им на расчеты, исполняются за счет собственных активов заключившего ее брокера в порядке и на условиях, установленных гражданским законодательством Республики Казахстан и внутренними документами фондовой биржи.";</w:t>
      </w:r>
    </w:p>
    <w:bookmarkEnd w:id="28"/>
    <w:bookmarkStart w:name="z39" w:id="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29"/>
    <w:bookmarkStart w:name="z40" w:id="30"/>
    <w:p>
      <w:pPr>
        <w:spacing w:after="0"/>
        <w:ind w:left="0"/>
        <w:jc w:val="both"/>
      </w:pPr>
      <w:r>
        <w:rPr>
          <w:rFonts w:ascii="Times New Roman"/>
          <w:b w:val="false"/>
          <w:i w:val="false"/>
          <w:color w:val="000000"/>
          <w:sz w:val="28"/>
        </w:rPr>
        <w:t>
      "Глава 11. Исполнение обязательств по сделкам с финансовыми инструментами";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"55. Порядок исполнения обязательств по сделкам с финансовыми инструментами, заключенным в торговой системе фондовой биржи, определяется ее внутренними документами, которые содержат, помимо иных возможных условий, следующие условия по сделкам с финансовыми инструментами:</w:t>
      </w:r>
    </w:p>
    <w:bookmarkEnd w:id="31"/>
    <w:bookmarkStart w:name="z43" w:id="32"/>
    <w:p>
      <w:pPr>
        <w:spacing w:after="0"/>
        <w:ind w:left="0"/>
        <w:jc w:val="both"/>
      </w:pPr>
      <w:r>
        <w:rPr>
          <w:rFonts w:ascii="Times New Roman"/>
          <w:b w:val="false"/>
          <w:i w:val="false"/>
          <w:color w:val="000000"/>
          <w:sz w:val="28"/>
        </w:rPr>
        <w:t>
      1) регистрация сделок с финансовыми инструментами (регистрация перехода права собственности на финансовые инструменты) осуществляется в системе учета центрального депозитария в порядке, установленном законодательством Республики Казахстан о рынке ценных бумаг и сводом правил центрального депозитария;</w:t>
      </w:r>
    </w:p>
    <w:bookmarkEnd w:id="32"/>
    <w:bookmarkStart w:name="z44" w:id="33"/>
    <w:p>
      <w:pPr>
        <w:spacing w:after="0"/>
        <w:ind w:left="0"/>
        <w:jc w:val="both"/>
      </w:pPr>
      <w:r>
        <w:rPr>
          <w:rFonts w:ascii="Times New Roman"/>
          <w:b w:val="false"/>
          <w:i w:val="false"/>
          <w:color w:val="000000"/>
          <w:sz w:val="28"/>
        </w:rPr>
        <w:t>
      2) исполнение обязательств по сделкам с финансовыми инструментами осуществляется по принципу "поставка против платежа" одним из следующих способов:</w:t>
      </w:r>
    </w:p>
    <w:bookmarkEnd w:id="33"/>
    <w:bookmarkStart w:name="z45" w:id="34"/>
    <w:p>
      <w:pPr>
        <w:spacing w:after="0"/>
        <w:ind w:left="0"/>
        <w:jc w:val="both"/>
      </w:pPr>
      <w:r>
        <w:rPr>
          <w:rFonts w:ascii="Times New Roman"/>
          <w:b w:val="false"/>
          <w:i w:val="false"/>
          <w:color w:val="000000"/>
          <w:sz w:val="28"/>
        </w:rPr>
        <w:t>
      в режиме реального времени, на основании каждой отдельной сделки без проведения взаимозачета требований и обязательств по другим сделкам членов фондовой биржи в порядке очередности их регистрации в торговой системе;</w:t>
      </w:r>
    </w:p>
    <w:bookmarkEnd w:id="34"/>
    <w:bookmarkStart w:name="z46" w:id="35"/>
    <w:p>
      <w:pPr>
        <w:spacing w:after="0"/>
        <w:ind w:left="0"/>
        <w:jc w:val="both"/>
      </w:pPr>
      <w:r>
        <w:rPr>
          <w:rFonts w:ascii="Times New Roman"/>
          <w:b w:val="false"/>
          <w:i w:val="false"/>
          <w:color w:val="000000"/>
          <w:sz w:val="28"/>
        </w:rPr>
        <w:t>
      по итогам торгов, на основании чистых позиций (нетто-требований и (или) нетто-обязательств), определенных по результатам осуществления взаимозачета требований и обязательств по ранее заключенным отдельным членом фондовой биржи сделкам, и подлежащих исполнению в текущий день;</w:t>
      </w:r>
    </w:p>
    <w:bookmarkEnd w:id="35"/>
    <w:bookmarkStart w:name="z47" w:id="36"/>
    <w:p>
      <w:pPr>
        <w:spacing w:after="0"/>
        <w:ind w:left="0"/>
        <w:jc w:val="both"/>
      </w:pPr>
      <w:r>
        <w:rPr>
          <w:rFonts w:ascii="Times New Roman"/>
          <w:b w:val="false"/>
          <w:i w:val="false"/>
          <w:color w:val="000000"/>
          <w:sz w:val="28"/>
        </w:rPr>
        <w:t>
      с использованием услуг центрального контрагента и по итогам торгов, на основании чистых позиций, определенных по результатам осуществления взаимозачета требований и обязательств по ранее заключенным отдельным членом фондовой биржи сделкам, и подлежащих исполнению в текущий день;</w:t>
      </w:r>
    </w:p>
    <w:bookmarkEnd w:id="36"/>
    <w:bookmarkStart w:name="z48" w:id="37"/>
    <w:p>
      <w:pPr>
        <w:spacing w:after="0"/>
        <w:ind w:left="0"/>
        <w:jc w:val="both"/>
      </w:pPr>
      <w:r>
        <w:rPr>
          <w:rFonts w:ascii="Times New Roman"/>
          <w:b w:val="false"/>
          <w:i w:val="false"/>
          <w:color w:val="000000"/>
          <w:sz w:val="28"/>
        </w:rPr>
        <w:t>
      3) исполнение обязательств по сделкам купли-продажи финансовых инструментов осуществляется по иным принципам, методам и способам, применяемым клиринговой организацией (центральным контрагентом), обслуживающей (обслуживающим) фондовую биржу.</w:t>
      </w:r>
    </w:p>
    <w:bookmarkEnd w:id="37"/>
    <w:bookmarkStart w:name="z49" w:id="38"/>
    <w:p>
      <w:pPr>
        <w:spacing w:after="0"/>
        <w:ind w:left="0"/>
        <w:jc w:val="both"/>
      </w:pPr>
      <w:r>
        <w:rPr>
          <w:rFonts w:ascii="Times New Roman"/>
          <w:b w:val="false"/>
          <w:i w:val="false"/>
          <w:color w:val="000000"/>
          <w:sz w:val="28"/>
        </w:rPr>
        <w:t>
      56. В случае если участник торгов не имеет лицевого счета в центральном депозитарии, исполнение заключенных им сделок с ценными бумагами производится по субсчету данного участника торгов, открытому в рамках лицевого счета депонента центрального депозитария.".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60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активов акционерных и паевых инвестиционных фондов" (зарегистрировано в Реестре государственной регистрации нормативных правовых актов под № 7540, опубликовано 4 июля 2012 года в газете "Казахстанская правда" № 211-212 (27030-27031) следующие изменения:</w:t>
      </w:r>
    </w:p>
    <w:bookmarkEnd w:id="39"/>
    <w:bookmarkStart w:name="z60"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инвестирования финансовых инструментов и иного имущества, входящего в состав активов инвестиционного фонда, утвержденных указанным постановлением: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2" w:id="41"/>
    <w:p>
      <w:pPr>
        <w:spacing w:after="0"/>
        <w:ind w:left="0"/>
        <w:jc w:val="both"/>
      </w:pPr>
      <w:r>
        <w:rPr>
          <w:rFonts w:ascii="Times New Roman"/>
          <w:b w:val="false"/>
          <w:i w:val="false"/>
          <w:color w:val="000000"/>
          <w:sz w:val="28"/>
        </w:rPr>
        <w:t xml:space="preserve">
      "Настоящие Правила инвестирования финансовых инструментов и иного имущества, входящего в состав активов инвестиционного фонда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2004 года "Об инвестиционных и венчурных фондах" (далее - Закон) и устанавливают порядок инвестирования финансовых инструментов и иного имущества, входящего в состав активов акционерных и паевых инвестиционных фондов.";</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4" w:id="42"/>
    <w:p>
      <w:pPr>
        <w:spacing w:after="0"/>
        <w:ind w:left="0"/>
        <w:jc w:val="both"/>
      </w:pPr>
      <w:r>
        <w:rPr>
          <w:rFonts w:ascii="Times New Roman"/>
          <w:b w:val="false"/>
          <w:i w:val="false"/>
          <w:color w:val="000000"/>
          <w:sz w:val="28"/>
        </w:rPr>
        <w:t xml:space="preserve">
      "4. При заключении сделок с финансовыми инструментами управляющая компания руководствуется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зарегистрированным в Реестре государственной регистрации нормативных правовых актов под № 9249.";</w:t>
      </w:r>
    </w:p>
    <w:bookmarkEnd w:id="42"/>
    <w:bookmarkStart w:name="z65" w:id="43"/>
    <w:p>
      <w:pPr>
        <w:spacing w:after="0"/>
        <w:ind w:left="0"/>
        <w:jc w:val="both"/>
      </w:pPr>
      <w:r>
        <w:rPr>
          <w:rFonts w:ascii="Times New Roman"/>
          <w:b w:val="false"/>
          <w:i w:val="false"/>
          <w:color w:val="000000"/>
          <w:sz w:val="28"/>
        </w:rPr>
        <w:t xml:space="preserve">
      Перечень финансовых инструментов, которые могут входить в состав активов акционерных и паевых инвестиционных фондов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рынка ценных бумаг, в которые вносятся изменения и дополнения.</w:t>
      </w:r>
    </w:p>
    <w:bookmarkEnd w:id="43"/>
    <w:bookmarkStart w:name="z66" w:id="4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120 "О совмещении видов профессиональной деятельности на рынке ценных бумаг" (зарегистрировано в Реестре государственной регистрации нормативных правовых актов под № 7641, опубликовано 8 августа 2012 года в газете "Казахстанская правда" № 256-257 (27075-27076) следующие изменения:</w:t>
      </w:r>
    </w:p>
    <w:bookmarkEnd w:id="44"/>
    <w:bookmarkStart w:name="z67"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70" w:id="46"/>
    <w:p>
      <w:pPr>
        <w:spacing w:after="0"/>
        <w:ind w:left="0"/>
        <w:jc w:val="both"/>
      </w:pPr>
      <w:r>
        <w:rPr>
          <w:rFonts w:ascii="Times New Roman"/>
          <w:b w:val="false"/>
          <w:i w:val="false"/>
          <w:color w:val="000000"/>
          <w:sz w:val="28"/>
        </w:rPr>
        <w:t>
      "6) депозитарной – с деятельностью по ведению системы реестров держателей ценных бумаг, организации торговли с ценными бумагами и иными финансовыми инструментами, с клиринговой деятельностью по сделкам с финансовыми инструментами, с трансфер-агентской деятельностью;".</w:t>
      </w:r>
    </w:p>
    <w:bookmarkEnd w:id="46"/>
    <w:bookmarkStart w:name="z71" w:id="4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опубликовано 16 апреля 2014 года в информационно-правовой системе "Әділет") следующие изменения и дополнения:</w:t>
      </w:r>
    </w:p>
    <w:bookmarkEnd w:id="47"/>
    <w:bookmarkStart w:name="z72"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порядке проведения брокером и (или) дилером банковских операций, утвержденных указанным постановлением:</w:t>
      </w:r>
    </w:p>
    <w:bookmarkEnd w:id="48"/>
    <w:bookmarkStart w:name="z73" w:id="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9"/>
    <w:bookmarkStart w:name="z74" w:id="50"/>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bookmarkEnd w:id="50"/>
    <w:bookmarkStart w:name="z75" w:id="51"/>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или рейтинговую оценку аналогичного уровня агентств Moody's Investors Service или Fitch;</w:t>
      </w:r>
    </w:p>
    <w:bookmarkEnd w:id="51"/>
    <w:bookmarkStart w:name="z76" w:id="52"/>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или рейтинговую оценку аналогичного уровня агентств Moody's Investors Service или Fitch;</w:t>
      </w:r>
    </w:p>
    <w:bookmarkEnd w:id="52"/>
    <w:bookmarkStart w:name="z77" w:id="53"/>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имеющая долгосрочную кредитную рейтинговую оценку не ниже "ВВВ" по международной шкале агентства Standard &amp; Poor's или рейтинговую оценку аналогичного уровня агентств Moody's Investors Service или Fitch;</w:t>
      </w:r>
    </w:p>
    <w:bookmarkEnd w:id="53"/>
    <w:bookmarkStart w:name="z78" w:id="54"/>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соответствующая следующим условиям:</w:t>
      </w:r>
    </w:p>
    <w:bookmarkEnd w:id="54"/>
    <w:bookmarkStart w:name="z79" w:id="55"/>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bookmarkEnd w:id="55"/>
    <w:bookmarkStart w:name="z80" w:id="56"/>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56"/>
    <w:bookmarkStart w:name="z81" w:id="57"/>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или рейтинговую оценку аналогичного уровня агентств Moody's Investors Service или Fitch.";</w:t>
      </w:r>
    </w:p>
    <w:bookmarkEnd w:id="57"/>
    <w:bookmarkStart w:name="z82" w:id="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58"/>
    <w:bookmarkStart w:name="z83" w:id="59"/>
    <w:p>
      <w:pPr>
        <w:spacing w:after="0"/>
        <w:ind w:left="0"/>
        <w:jc w:val="both"/>
      </w:pPr>
      <w:r>
        <w:rPr>
          <w:rFonts w:ascii="Times New Roman"/>
          <w:b w:val="false"/>
          <w:i w:val="false"/>
          <w:color w:val="000000"/>
          <w:sz w:val="28"/>
        </w:rPr>
        <w:t xml:space="preserve">
      "16. Брокером и (или) дилером размещается информация на его интернет-ресурсах (включая ссылки на официальный интернет-ресурс уполномоченного органа, определенном в </w:t>
      </w:r>
      <w:r>
        <w:rPr>
          <w:rFonts w:ascii="Times New Roman"/>
          <w:b w:val="false"/>
          <w:i w:val="false"/>
          <w:color w:val="000000"/>
          <w:sz w:val="28"/>
        </w:rPr>
        <w:t>пункте 1</w:t>
      </w:r>
      <w:r>
        <w:rPr>
          <w:rFonts w:ascii="Times New Roman"/>
          <w:b w:val="false"/>
          <w:i w:val="false"/>
          <w:color w:val="000000"/>
          <w:sz w:val="28"/>
        </w:rPr>
        <w:t xml:space="preserve"> статьи 3 Закона о рынке ценных бумаг) о наличии действующий лицензии на осуществление брокерской и (или) дилерской деятельности, выданной данному брокеру и (или) дилеру.";</w:t>
      </w:r>
    </w:p>
    <w:bookmarkEnd w:id="59"/>
    <w:bookmarkStart w:name="z84" w:id="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60"/>
    <w:bookmarkStart w:name="z85" w:id="61"/>
    <w:p>
      <w:pPr>
        <w:spacing w:after="0"/>
        <w:ind w:left="0"/>
        <w:jc w:val="both"/>
      </w:pPr>
      <w:r>
        <w:rPr>
          <w:rFonts w:ascii="Times New Roman"/>
          <w:b w:val="false"/>
          <w:i w:val="false"/>
          <w:color w:val="000000"/>
          <w:sz w:val="28"/>
        </w:rPr>
        <w:t>
      "Уведомление клиенту об ограничениях и особых условиях, установленных в отношении сделки с финансовыми инструментами, предполагаемой к совершению за счет и в интересах данного клиента, оформляется в установленной внутренними документами брокера и (или) дилера форме и размещается на интернет-ресурсе и (или) в торговой платформе (программном обеспечении) брокера и (или) дилера, и (или) направляется электронной почтой или иными возможными видами связи в день возникновения основания отправки такого уведомления.";</w:t>
      </w:r>
    </w:p>
    <w:bookmarkEnd w:id="61"/>
    <w:bookmarkStart w:name="z86"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36</w:t>
      </w:r>
      <w:r>
        <w:rPr>
          <w:rFonts w:ascii="Times New Roman"/>
          <w:b w:val="false"/>
          <w:i w:val="false"/>
          <w:color w:val="000000"/>
          <w:sz w:val="28"/>
        </w:rPr>
        <w:t>:</w:t>
      </w:r>
    </w:p>
    <w:bookmarkEnd w:id="62"/>
    <w:bookmarkStart w:name="z87" w:id="63"/>
    <w:p>
      <w:pPr>
        <w:spacing w:after="0"/>
        <w:ind w:left="0"/>
        <w:jc w:val="both"/>
      </w:pPr>
      <w:r>
        <w:rPr>
          <w:rFonts w:ascii="Times New Roman"/>
          <w:b w:val="false"/>
          <w:i w:val="false"/>
          <w:color w:val="000000"/>
          <w:sz w:val="28"/>
        </w:rPr>
        <w:t>
      подпункт 2) изложить в следующей редакции:</w:t>
      </w:r>
    </w:p>
    <w:bookmarkEnd w:id="63"/>
    <w:bookmarkStart w:name="z88" w:id="64"/>
    <w:p>
      <w:pPr>
        <w:spacing w:after="0"/>
        <w:ind w:left="0"/>
        <w:jc w:val="both"/>
      </w:pPr>
      <w:r>
        <w:rPr>
          <w:rFonts w:ascii="Times New Roman"/>
          <w:b w:val="false"/>
          <w:i w:val="false"/>
          <w:color w:val="000000"/>
          <w:sz w:val="28"/>
        </w:rPr>
        <w:t>
      "2) сведения о клиенте, в интересах которого предполагается совершение сделки с финансовыми инструментами:</w:t>
      </w:r>
    </w:p>
    <w:bookmarkEnd w:id="64"/>
    <w:bookmarkStart w:name="z89" w:id="65"/>
    <w:p>
      <w:pPr>
        <w:spacing w:after="0"/>
        <w:ind w:left="0"/>
        <w:jc w:val="both"/>
      </w:pPr>
      <w:r>
        <w:rPr>
          <w:rFonts w:ascii="Times New Roman"/>
          <w:b w:val="false"/>
          <w:i w:val="false"/>
          <w:color w:val="000000"/>
          <w:sz w:val="28"/>
        </w:rPr>
        <w:t>
      для физического лица:</w:t>
      </w:r>
    </w:p>
    <w:bookmarkEnd w:id="65"/>
    <w:bookmarkStart w:name="z90" w:id="66"/>
    <w:p>
      <w:pPr>
        <w:spacing w:after="0"/>
        <w:ind w:left="0"/>
        <w:jc w:val="both"/>
      </w:pPr>
      <w:r>
        <w:rPr>
          <w:rFonts w:ascii="Times New Roman"/>
          <w:b w:val="false"/>
          <w:i w:val="false"/>
          <w:color w:val="000000"/>
          <w:sz w:val="28"/>
        </w:rPr>
        <w:t>
      фамилия, имя, отчество (при его наличии);</w:t>
      </w:r>
    </w:p>
    <w:bookmarkEnd w:id="66"/>
    <w:bookmarkStart w:name="z91" w:id="67"/>
    <w:p>
      <w:pPr>
        <w:spacing w:after="0"/>
        <w:ind w:left="0"/>
        <w:jc w:val="both"/>
      </w:pPr>
      <w:r>
        <w:rPr>
          <w:rFonts w:ascii="Times New Roman"/>
          <w:b w:val="false"/>
          <w:i w:val="false"/>
          <w:color w:val="000000"/>
          <w:sz w:val="28"/>
        </w:rPr>
        <w:t>
      номер документа, удостоверяющего личность или индивидуальный идентификационный номер;</w:t>
      </w:r>
    </w:p>
    <w:bookmarkEnd w:id="67"/>
    <w:bookmarkStart w:name="z92" w:id="68"/>
    <w:p>
      <w:pPr>
        <w:spacing w:after="0"/>
        <w:ind w:left="0"/>
        <w:jc w:val="both"/>
      </w:pPr>
      <w:r>
        <w:rPr>
          <w:rFonts w:ascii="Times New Roman"/>
          <w:b w:val="false"/>
          <w:i w:val="false"/>
          <w:color w:val="000000"/>
          <w:sz w:val="28"/>
        </w:rPr>
        <w:t>
      для юридического лица:</w:t>
      </w:r>
    </w:p>
    <w:bookmarkEnd w:id="68"/>
    <w:bookmarkStart w:name="z93" w:id="69"/>
    <w:p>
      <w:pPr>
        <w:spacing w:after="0"/>
        <w:ind w:left="0"/>
        <w:jc w:val="both"/>
      </w:pPr>
      <w:r>
        <w:rPr>
          <w:rFonts w:ascii="Times New Roman"/>
          <w:b w:val="false"/>
          <w:i w:val="false"/>
          <w:color w:val="000000"/>
          <w:sz w:val="28"/>
        </w:rPr>
        <w:t>
      наименование;</w:t>
      </w:r>
    </w:p>
    <w:bookmarkEnd w:id="69"/>
    <w:bookmarkStart w:name="z94" w:id="70"/>
    <w:p>
      <w:pPr>
        <w:spacing w:after="0"/>
        <w:ind w:left="0"/>
        <w:jc w:val="both"/>
      </w:pPr>
      <w:r>
        <w:rPr>
          <w:rFonts w:ascii="Times New Roman"/>
          <w:b w:val="false"/>
          <w:i w:val="false"/>
          <w:color w:val="000000"/>
          <w:sz w:val="28"/>
        </w:rPr>
        <w:t>
      бизнес-идентификационный номер;";</w:t>
      </w:r>
    </w:p>
    <w:bookmarkEnd w:id="70"/>
    <w:bookmarkStart w:name="z95" w:id="71"/>
    <w:p>
      <w:pPr>
        <w:spacing w:after="0"/>
        <w:ind w:left="0"/>
        <w:jc w:val="both"/>
      </w:pPr>
      <w:r>
        <w:rPr>
          <w:rFonts w:ascii="Times New Roman"/>
          <w:b w:val="false"/>
          <w:i w:val="false"/>
          <w:color w:val="000000"/>
          <w:sz w:val="28"/>
        </w:rPr>
        <w:t>
      подпункт 7) изложить в следующей редакции:</w:t>
      </w:r>
    </w:p>
    <w:bookmarkEnd w:id="71"/>
    <w:bookmarkStart w:name="z96" w:id="72"/>
    <w:p>
      <w:pPr>
        <w:spacing w:after="0"/>
        <w:ind w:left="0"/>
        <w:jc w:val="both"/>
      </w:pPr>
      <w:r>
        <w:rPr>
          <w:rFonts w:ascii="Times New Roman"/>
          <w:b w:val="false"/>
          <w:i w:val="false"/>
          <w:color w:val="000000"/>
          <w:sz w:val="28"/>
        </w:rPr>
        <w:t>
      "7) дату и время (в формате часы и минуты) приема клиентского заказа;";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98" w:id="73"/>
    <w:p>
      <w:pPr>
        <w:spacing w:after="0"/>
        <w:ind w:left="0"/>
        <w:jc w:val="both"/>
      </w:pPr>
      <w:r>
        <w:rPr>
          <w:rFonts w:ascii="Times New Roman"/>
          <w:b w:val="false"/>
          <w:i w:val="false"/>
          <w:color w:val="000000"/>
          <w:sz w:val="28"/>
        </w:rPr>
        <w:t>
      "37. Форма клиентского заказа и количество экземпляров клиентского заказа, подлежащих представлению клиентом брокеру и (или) дилеру, устанавливаются внутренними документами брокера и (или) дилера. Если иное не предусмотрено Правилами, клиентский заказ подписывается клиентом или его представителем.</w:t>
      </w:r>
    </w:p>
    <w:bookmarkEnd w:id="73"/>
    <w:bookmarkStart w:name="z99" w:id="74"/>
    <w:p>
      <w:pPr>
        <w:spacing w:after="0"/>
        <w:ind w:left="0"/>
        <w:jc w:val="both"/>
      </w:pPr>
      <w:r>
        <w:rPr>
          <w:rFonts w:ascii="Times New Roman"/>
          <w:b w:val="false"/>
          <w:i w:val="false"/>
          <w:color w:val="000000"/>
          <w:sz w:val="28"/>
        </w:rPr>
        <w:t>
      При получении клиентского заказа брокер и (или) дилер проверяет полномочия лица, подписавшего клиентский заказ, в том числе осуществляет сверку подписей на клиентских заказах (на бумажном носителе) на их соответствие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или документе, удостоверяющем личность физического лица либо его представителя.</w:t>
      </w:r>
    </w:p>
    <w:bookmarkEnd w:id="74"/>
    <w:bookmarkStart w:name="z100" w:id="75"/>
    <w:p>
      <w:pPr>
        <w:spacing w:after="0"/>
        <w:ind w:left="0"/>
        <w:jc w:val="both"/>
      </w:pPr>
      <w:r>
        <w:rPr>
          <w:rFonts w:ascii="Times New Roman"/>
          <w:b w:val="false"/>
          <w:i w:val="false"/>
          <w:color w:val="000000"/>
          <w:sz w:val="28"/>
        </w:rPr>
        <w:t>
      Клиентские заказы, переданные брокеру и (или) дилеру посредством средств факсимильного и (или) электронного воспроизведения подписи с помощью механического или иного копирования аналога собственноручной подписи клиента брокера и (или) дилера, а также телефонной связи, либо посредством использования программного обеспечения по обмену текстовыми (голосовыми) сообщениями в режиме реального времени включаются брокером и (или) дилером в реестр клиентских заказов, переданных альтернативными видами связи. Указанный реестр заполняется в разрезе каждого клиента брокера и (или) дилера, которым предоставлено право подавать клиентские заказы альтернативными видами связи. Реестр ведется за период, равный одному месяцу, и содержит дату получения брокером и (или) дилером клиентского заказа, вид сделки, подлежащей совершению на основании заказа, вид связи, посредством которой клиентский заказ был подан клиентом. После завершения отчетного месяца, в котором клиентом подавались клиентские заказы посредством альтернативных видов связи, брокер и (или) дилер подписывает у клиента или его уполномоченного представителя указанный реестр.</w:t>
      </w:r>
    </w:p>
    <w:bookmarkEnd w:id="75"/>
    <w:bookmarkStart w:name="z101" w:id="76"/>
    <w:p>
      <w:pPr>
        <w:spacing w:after="0"/>
        <w:ind w:left="0"/>
        <w:jc w:val="both"/>
      </w:pPr>
      <w:r>
        <w:rPr>
          <w:rFonts w:ascii="Times New Roman"/>
          <w:b w:val="false"/>
          <w:i w:val="false"/>
          <w:color w:val="000000"/>
          <w:sz w:val="28"/>
        </w:rPr>
        <w:t>
      Подписание клиентом или его представителем реестра подтверждает подлинность представления клиентского заказа, переданных клиентом или его представителем, посредством альтернативных видов связи.</w:t>
      </w:r>
    </w:p>
    <w:bookmarkEnd w:id="76"/>
    <w:bookmarkStart w:name="z102" w:id="77"/>
    <w:p>
      <w:pPr>
        <w:spacing w:after="0"/>
        <w:ind w:left="0"/>
        <w:jc w:val="both"/>
      </w:pPr>
      <w:r>
        <w:rPr>
          <w:rFonts w:ascii="Times New Roman"/>
          <w:b w:val="false"/>
          <w:i w:val="false"/>
          <w:color w:val="000000"/>
          <w:sz w:val="28"/>
        </w:rPr>
        <w:t>
      Допускается составление и передача клиентского заказа в форме электронного документа или иной электронно-цифровой форме, в том числе с использованием системы SWIFT, информационных аналитических систем Bloomberg или Reuters, программного обеспечения по обмену текстовыми (голосовыми) сообщениями в режиме реального времени либо иных торговых платформ (в случае обращения клиента брокера и (или) дилера, являющегося номинальным держателем за получением электронных услуг).</w:t>
      </w:r>
    </w:p>
    <w:bookmarkEnd w:id="77"/>
    <w:bookmarkStart w:name="z103" w:id="78"/>
    <w:p>
      <w:pPr>
        <w:spacing w:after="0"/>
        <w:ind w:left="0"/>
        <w:jc w:val="both"/>
      </w:pPr>
      <w:r>
        <w:rPr>
          <w:rFonts w:ascii="Times New Roman"/>
          <w:b w:val="false"/>
          <w:i w:val="false"/>
          <w:color w:val="000000"/>
          <w:sz w:val="28"/>
        </w:rPr>
        <w:t>
      38. Допускается передача клиентского заказа средствами телефонной связи или видеоконференцсвязи с последующим заполнением и ведением брокером и (или) дилером реестра клиентских заказов в соответствии с требованиями части третьей пункта 37 Правил. При принятии клиентского заказа средствами телефонной связи или видеоконференцсвязи осуществляется запись разговора с клиентом либо его представителем, уполномоченным на передачу от имени клиента клиентского заказа средствами телефонной связи или видеоконференцсвязи, с использованием аудиотехники и иных специальных технических средств (далее - телефонная или видеозапись).</w:t>
      </w:r>
    </w:p>
    <w:bookmarkEnd w:id="78"/>
    <w:bookmarkStart w:name="z104" w:id="79"/>
    <w:p>
      <w:pPr>
        <w:spacing w:after="0"/>
        <w:ind w:left="0"/>
        <w:jc w:val="both"/>
      </w:pPr>
      <w:r>
        <w:rPr>
          <w:rFonts w:ascii="Times New Roman"/>
          <w:b w:val="false"/>
          <w:i w:val="false"/>
          <w:color w:val="000000"/>
          <w:sz w:val="28"/>
        </w:rPr>
        <w:t>
      Телефонная или видеозапись клиентского заказа содержит сведения, указанные в пункте 36 Правил.</w:t>
      </w:r>
    </w:p>
    <w:bookmarkEnd w:id="79"/>
    <w:bookmarkStart w:name="z105" w:id="80"/>
    <w:p>
      <w:pPr>
        <w:spacing w:after="0"/>
        <w:ind w:left="0"/>
        <w:jc w:val="both"/>
      </w:pPr>
      <w:r>
        <w:rPr>
          <w:rFonts w:ascii="Times New Roman"/>
          <w:b w:val="false"/>
          <w:i w:val="false"/>
          <w:color w:val="000000"/>
          <w:sz w:val="28"/>
        </w:rPr>
        <w:t>
      Действия брокера и (или) дилера и его клиента при несоответствии оригинала клиентского заказа телефонной или видеозаписи определяются брокерским договором.</w:t>
      </w:r>
    </w:p>
    <w:bookmarkEnd w:id="80"/>
    <w:bookmarkStart w:name="z106" w:id="81"/>
    <w:p>
      <w:pPr>
        <w:spacing w:after="0"/>
        <w:ind w:left="0"/>
        <w:jc w:val="both"/>
      </w:pPr>
      <w:r>
        <w:rPr>
          <w:rFonts w:ascii="Times New Roman"/>
          <w:b w:val="false"/>
          <w:i w:val="false"/>
          <w:color w:val="000000"/>
          <w:sz w:val="28"/>
        </w:rPr>
        <w:t>
      Условия и порядок идентификации клиентов брокером и (или) дилером при принятии клиентского заказа средствами телефонной связи или видеоконференцсвязи определяются брокерским договором и внутренними документами брокера и (или) дилера и включает в себя в том числе осуществление идентификации клиента по следующей информации:</w:t>
      </w:r>
    </w:p>
    <w:bookmarkEnd w:id="81"/>
    <w:bookmarkStart w:name="z107" w:id="82"/>
    <w:p>
      <w:pPr>
        <w:spacing w:after="0"/>
        <w:ind w:left="0"/>
        <w:jc w:val="both"/>
      </w:pPr>
      <w:r>
        <w:rPr>
          <w:rFonts w:ascii="Times New Roman"/>
          <w:b w:val="false"/>
          <w:i w:val="false"/>
          <w:color w:val="000000"/>
          <w:sz w:val="28"/>
        </w:rPr>
        <w:t>
      для физического лица: фамилия, имя, отчество (при его наличии), номер документа, удостоверяющего личность, индивидуальный идентификационный номер (при его наличии), номер лицевого счета;</w:t>
      </w:r>
    </w:p>
    <w:bookmarkEnd w:id="82"/>
    <w:bookmarkStart w:name="z108" w:id="83"/>
    <w:p>
      <w:pPr>
        <w:spacing w:after="0"/>
        <w:ind w:left="0"/>
        <w:jc w:val="both"/>
      </w:pPr>
      <w:r>
        <w:rPr>
          <w:rFonts w:ascii="Times New Roman"/>
          <w:b w:val="false"/>
          <w:i w:val="false"/>
          <w:color w:val="000000"/>
          <w:sz w:val="28"/>
        </w:rPr>
        <w:t>
      для юридического лица: полное наименование юридического лица, бизнес-идентификационный номер (при его наличии), номер лицевого счета, фамилия, имя отчество (при его наличии), должность представителя юридического лица, отдающего клиентский заказ.</w:t>
      </w:r>
    </w:p>
    <w:bookmarkEnd w:id="83"/>
    <w:bookmarkStart w:name="z109" w:id="84"/>
    <w:p>
      <w:pPr>
        <w:spacing w:after="0"/>
        <w:ind w:left="0"/>
        <w:jc w:val="both"/>
      </w:pPr>
      <w:r>
        <w:rPr>
          <w:rFonts w:ascii="Times New Roman"/>
          <w:b w:val="false"/>
          <w:i w:val="false"/>
          <w:color w:val="000000"/>
          <w:sz w:val="28"/>
        </w:rPr>
        <w:t>
      Брокер и (или) дилер определяет перечень лиц, имеющих доступ к информации, указанной в части четвертой настоящего пункта Правил, и ведет их учет в соответствии с внутренними документами.";</w:t>
      </w:r>
    </w:p>
    <w:bookmarkEnd w:id="84"/>
    <w:bookmarkStart w:name="z110" w:id="85"/>
    <w:p>
      <w:pPr>
        <w:spacing w:after="0"/>
        <w:ind w:left="0"/>
        <w:jc w:val="both"/>
      </w:pPr>
      <w:r>
        <w:rPr>
          <w:rFonts w:ascii="Times New Roman"/>
          <w:b w:val="false"/>
          <w:i w:val="false"/>
          <w:color w:val="000000"/>
          <w:sz w:val="28"/>
        </w:rPr>
        <w:t>
      дополнить пунктом 45-1 следующего содержания:</w:t>
      </w:r>
    </w:p>
    <w:bookmarkEnd w:id="85"/>
    <w:bookmarkStart w:name="z111" w:id="86"/>
    <w:p>
      <w:pPr>
        <w:spacing w:after="0"/>
        <w:ind w:left="0"/>
        <w:jc w:val="both"/>
      </w:pPr>
      <w:r>
        <w:rPr>
          <w:rFonts w:ascii="Times New Roman"/>
          <w:b w:val="false"/>
          <w:i w:val="false"/>
          <w:color w:val="000000"/>
          <w:sz w:val="28"/>
        </w:rPr>
        <w:t>
      "45-1. Брокер и (или) дилер вправе перечислять на счета клиринговой организации (центрального контрагента) деньги в целях обеспечения исполнения обязательств перед клиринговой организацией (центральным контрагентом).";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13" w:id="87"/>
    <w:p>
      <w:pPr>
        <w:spacing w:after="0"/>
        <w:ind w:left="0"/>
        <w:jc w:val="both"/>
      </w:pPr>
      <w:r>
        <w:rPr>
          <w:rFonts w:ascii="Times New Roman"/>
          <w:b w:val="false"/>
          <w:i w:val="false"/>
          <w:color w:val="000000"/>
          <w:sz w:val="28"/>
        </w:rPr>
        <w:t>
      "49. При соответствии значений показателей, характеризующих покрытие рисков брокера и (или) дилера первой категории, не являющегося банком, требованиям, установленным постановлением № 214, брокеру и (или) дилеру разрешается заключение сделок с расчетным периодом до 5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4 (четырех) рабочих дней с даты заключения сделки. Расчеты по указанным сделкам осуществляются через центральный депозитарий или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15" w:id="88"/>
    <w:p>
      <w:pPr>
        <w:spacing w:after="0"/>
        <w:ind w:left="0"/>
        <w:jc w:val="both"/>
      </w:pPr>
      <w:r>
        <w:rPr>
          <w:rFonts w:ascii="Times New Roman"/>
          <w:b w:val="false"/>
          <w:i w:val="false"/>
          <w:color w:val="000000"/>
          <w:sz w:val="28"/>
        </w:rPr>
        <w:t>
      "53. Операции "репо", а также иные операции, предусматривающие обязательство обратного выкупа или продажи финансовых инструментов, являющихся предметом сделки, осуществляемые брокером и (или) дилером в торговой системе фондовой биржи или на международных (иностранных) рынках ценных бумаг за счет собственных денег брокера и (или) дилера либо в соответствии с приказом клиента в рамках брокерского договора, совершаются на срок не более 90 (девяноста) календарных дней (с учетом продления первоначального срока операции "репо" и иных операций).";</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17" w:id="89"/>
    <w:p>
      <w:pPr>
        <w:spacing w:after="0"/>
        <w:ind w:left="0"/>
        <w:jc w:val="both"/>
      </w:pPr>
      <w:r>
        <w:rPr>
          <w:rFonts w:ascii="Times New Roman"/>
          <w:b w:val="false"/>
          <w:i w:val="false"/>
          <w:color w:val="000000"/>
          <w:sz w:val="28"/>
        </w:rPr>
        <w:t>
      "55. Брокер и (или) дилер не заключает сделку (не подает заявку на заключение сделки) с ценными бумагами, расчеты по которой осуществляются по принципу "поставка против платежа"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при отсутствии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w:t>
      </w:r>
    </w:p>
    <w:bookmarkEnd w:id="89"/>
    <w:bookmarkStart w:name="z118" w:id="90"/>
    <w:p>
      <w:pPr>
        <w:spacing w:after="0"/>
        <w:ind w:left="0"/>
        <w:jc w:val="both"/>
      </w:pPr>
      <w:r>
        <w:rPr>
          <w:rFonts w:ascii="Times New Roman"/>
          <w:b w:val="false"/>
          <w:i w:val="false"/>
          <w:color w:val="000000"/>
          <w:sz w:val="28"/>
        </w:rPr>
        <w:t xml:space="preserve">
      Действие настоящего пункта не распространяется на случаи, указанные в </w:t>
      </w:r>
      <w:r>
        <w:rPr>
          <w:rFonts w:ascii="Times New Roman"/>
          <w:b w:val="false"/>
          <w:i w:val="false"/>
          <w:color w:val="000000"/>
          <w:sz w:val="28"/>
        </w:rPr>
        <w:t>пунктах 49</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Правил, а также на сделки с ценными бумагами, заключенные банками второго уровня.";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120" w:id="91"/>
    <w:p>
      <w:pPr>
        <w:spacing w:after="0"/>
        <w:ind w:left="0"/>
        <w:jc w:val="both"/>
      </w:pPr>
      <w:r>
        <w:rPr>
          <w:rFonts w:ascii="Times New Roman"/>
          <w:b w:val="false"/>
          <w:i w:val="false"/>
          <w:color w:val="000000"/>
          <w:sz w:val="28"/>
        </w:rPr>
        <w:t xml:space="preserve">
      "62. Брокер и (или) дилер для включения в реестр сделок с производными финансовыми инструментами, заключенных на организованном и неорганизованном рынках, ведение которого осуществляется центральным депозитарием (далее - реестр), не позднее 14-00 часов времени города Нур-Султана первого рабочего дня недели, следующего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19 декабря 2015 года № 254 "Об утверждении Правил осуществления деятельности центрального депозитария", зарегистрированным в Реестре государственной регистрации нормативных правовых актов под № 12957, и внутренних документов центрального депозитария.</w:t>
      </w:r>
    </w:p>
    <w:bookmarkEnd w:id="91"/>
    <w:bookmarkStart w:name="z121" w:id="92"/>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 на организованном и неорганизованном рынках, а также заключенным и исполненным сделкам в отчетном периоде.";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и </w:t>
      </w:r>
      <w:r>
        <w:rPr>
          <w:rFonts w:ascii="Times New Roman"/>
          <w:b w:val="false"/>
          <w:i w:val="false"/>
          <w:color w:val="000000"/>
          <w:sz w:val="28"/>
        </w:rPr>
        <w:t>63-4</w:t>
      </w:r>
      <w:r>
        <w:rPr>
          <w:rFonts w:ascii="Times New Roman"/>
          <w:b w:val="false"/>
          <w:i w:val="false"/>
          <w:color w:val="000000"/>
          <w:sz w:val="28"/>
        </w:rPr>
        <w:t xml:space="preserve"> изложить в следующей редакции:</w:t>
      </w:r>
    </w:p>
    <w:bookmarkStart w:name="z123" w:id="93"/>
    <w:p>
      <w:pPr>
        <w:spacing w:after="0"/>
        <w:ind w:left="0"/>
        <w:jc w:val="both"/>
      </w:pPr>
      <w:r>
        <w:rPr>
          <w:rFonts w:ascii="Times New Roman"/>
          <w:b w:val="false"/>
          <w:i w:val="false"/>
          <w:color w:val="000000"/>
          <w:sz w:val="28"/>
        </w:rPr>
        <w:t>
      "63-1. Брокер и (или) дилер при наличии лицензии уполномоченного органа на организацию обменных операций с иностранной валютой (в части организации обменных операций с безналичной иностранной валютой) для целей законодательства Республики Казахстан о валютном регулировании и валютном контроле признается уполномоченным банком, выполняющим функции агента валютного контроля.</w:t>
      </w:r>
    </w:p>
    <w:bookmarkEnd w:id="93"/>
    <w:bookmarkStart w:name="z124" w:id="94"/>
    <w:p>
      <w:pPr>
        <w:spacing w:after="0"/>
        <w:ind w:left="0"/>
        <w:jc w:val="both"/>
      </w:pPr>
      <w:r>
        <w:rPr>
          <w:rFonts w:ascii="Times New Roman"/>
          <w:b w:val="false"/>
          <w:i w:val="false"/>
          <w:color w:val="000000"/>
          <w:sz w:val="28"/>
        </w:rPr>
        <w:t>
      Брокер и (или) дилер, признаваемый в качестве уполномоченного банка, выполняющего функции агента валютного контроля, совершает сделки по покупке или продаже иностранной валюты (в том числе сделки, относящиеся к операциям валютного свопа согласно внутренним документам фондовой биржи) только в безналичной форме:</w:t>
      </w:r>
    </w:p>
    <w:bookmarkEnd w:id="94"/>
    <w:bookmarkStart w:name="z125" w:id="95"/>
    <w:p>
      <w:pPr>
        <w:spacing w:after="0"/>
        <w:ind w:left="0"/>
        <w:jc w:val="both"/>
      </w:pPr>
      <w:r>
        <w:rPr>
          <w:rFonts w:ascii="Times New Roman"/>
          <w:b w:val="false"/>
          <w:i w:val="false"/>
          <w:color w:val="000000"/>
          <w:sz w:val="28"/>
        </w:rPr>
        <w:t>
      1) за счет собственных активов;</w:t>
      </w:r>
    </w:p>
    <w:bookmarkEnd w:id="95"/>
    <w:bookmarkStart w:name="z126" w:id="96"/>
    <w:p>
      <w:pPr>
        <w:spacing w:after="0"/>
        <w:ind w:left="0"/>
        <w:jc w:val="both"/>
      </w:pPr>
      <w:r>
        <w:rPr>
          <w:rFonts w:ascii="Times New Roman"/>
          <w:b w:val="false"/>
          <w:i w:val="false"/>
          <w:color w:val="000000"/>
          <w:sz w:val="28"/>
        </w:rPr>
        <w:t>
      2) за счет активов и по поручению своих клиентов;</w:t>
      </w:r>
    </w:p>
    <w:bookmarkEnd w:id="96"/>
    <w:bookmarkStart w:name="z127" w:id="97"/>
    <w:p>
      <w:pPr>
        <w:spacing w:after="0"/>
        <w:ind w:left="0"/>
        <w:jc w:val="both"/>
      </w:pPr>
      <w:r>
        <w:rPr>
          <w:rFonts w:ascii="Times New Roman"/>
          <w:b w:val="false"/>
          <w:i w:val="false"/>
          <w:color w:val="000000"/>
          <w:sz w:val="28"/>
        </w:rPr>
        <w:t>
      3) за счет активов, находящихся в управлении (при совмещении брокерской и (или) дилерской деятельности с деятельностью по управлению инвестиционным портфелем).</w:t>
      </w:r>
    </w:p>
    <w:bookmarkEnd w:id="97"/>
    <w:bookmarkStart w:name="z128" w:id="98"/>
    <w:p>
      <w:pPr>
        <w:spacing w:after="0"/>
        <w:ind w:left="0"/>
        <w:jc w:val="both"/>
      </w:pPr>
      <w:r>
        <w:rPr>
          <w:rFonts w:ascii="Times New Roman"/>
          <w:b w:val="false"/>
          <w:i w:val="false"/>
          <w:color w:val="000000"/>
          <w:sz w:val="28"/>
        </w:rPr>
        <w:t xml:space="preserve">
      63-2. Оказание услуг по покупке или продаже безналичной иностранной валюты клиенту осуществляется брокером и (или) дилером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Республики Казахстан под № 18512, брокерским договором в отношении клиентских активов и внутренними документами брокера и (или) дилера в отношении собственных активов и (или) активов, находящихся в управлении (при совмещении с деятельностью по управлению инвестиционным портфелем).</w:t>
      </w:r>
    </w:p>
    <w:bookmarkEnd w:id="98"/>
    <w:bookmarkStart w:name="z129" w:id="99"/>
    <w:p>
      <w:pPr>
        <w:spacing w:after="0"/>
        <w:ind w:left="0"/>
        <w:jc w:val="both"/>
      </w:pPr>
      <w:r>
        <w:rPr>
          <w:rFonts w:ascii="Times New Roman"/>
          <w:b w:val="false"/>
          <w:i w:val="false"/>
          <w:color w:val="000000"/>
          <w:sz w:val="28"/>
        </w:rPr>
        <w:t xml:space="preserve">
      Брокер и (или) дилер, признаваемый в качестве уполномоченного банка, выполняющего функции агента валютного контроля, направляет отчеты о проведенных валютных операциях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Республики Казахстан под № 18544.</w:t>
      </w:r>
    </w:p>
    <w:bookmarkEnd w:id="99"/>
    <w:bookmarkStart w:name="z130" w:id="100"/>
    <w:p>
      <w:pPr>
        <w:spacing w:after="0"/>
        <w:ind w:left="0"/>
        <w:jc w:val="both"/>
      </w:pPr>
      <w:r>
        <w:rPr>
          <w:rFonts w:ascii="Times New Roman"/>
          <w:b w:val="false"/>
          <w:i w:val="false"/>
          <w:color w:val="000000"/>
          <w:sz w:val="28"/>
        </w:rPr>
        <w:t>
      63-3. Брокер и (или) дилер открывает раздельные банковские счета для учета и хранения безналичной иностранной валюты, принадлежащей ему и его клиентам, в банках, не являющихся аффилиированными лицами брокера и (или) дилера, и (или) центральном депозитарии ценных бумаг, и (или) иностранных расчетных организациях.</w:t>
      </w:r>
    </w:p>
    <w:bookmarkEnd w:id="100"/>
    <w:bookmarkStart w:name="z131" w:id="101"/>
    <w:p>
      <w:pPr>
        <w:spacing w:after="0"/>
        <w:ind w:left="0"/>
        <w:jc w:val="both"/>
      </w:pPr>
      <w:r>
        <w:rPr>
          <w:rFonts w:ascii="Times New Roman"/>
          <w:b w:val="false"/>
          <w:i w:val="false"/>
          <w:color w:val="000000"/>
          <w:sz w:val="28"/>
        </w:rPr>
        <w:t>
      Данное требование не распространяется в случае учета и хранения безналичной иностранной валюты, принадлежащей брокеру и (или) дилеру и его клиентам на фондовой бирже.</w:t>
      </w:r>
    </w:p>
    <w:bookmarkEnd w:id="101"/>
    <w:bookmarkStart w:name="z132" w:id="102"/>
    <w:p>
      <w:pPr>
        <w:spacing w:after="0"/>
        <w:ind w:left="0"/>
        <w:jc w:val="both"/>
      </w:pPr>
      <w:r>
        <w:rPr>
          <w:rFonts w:ascii="Times New Roman"/>
          <w:b w:val="false"/>
          <w:i w:val="false"/>
          <w:color w:val="000000"/>
          <w:sz w:val="28"/>
        </w:rPr>
        <w:t>
      63-4. Заключение брокером и (или) дилером сделок по покупке или продаже безналичной иностранной валюты на фондовой бирже осуществляется следующими способами:</w:t>
      </w:r>
    </w:p>
    <w:bookmarkEnd w:id="102"/>
    <w:bookmarkStart w:name="z133" w:id="103"/>
    <w:p>
      <w:pPr>
        <w:spacing w:after="0"/>
        <w:ind w:left="0"/>
        <w:jc w:val="both"/>
      </w:pPr>
      <w:r>
        <w:rPr>
          <w:rFonts w:ascii="Times New Roman"/>
          <w:b w:val="false"/>
          <w:i w:val="false"/>
          <w:color w:val="000000"/>
          <w:sz w:val="28"/>
        </w:rPr>
        <w:t>
      1) на условиях полной предварительной оплаты покупаемой безналичной иностранной валюты или предварительной поставки продаваемой безналичной иностранной валюты;</w:t>
      </w:r>
    </w:p>
    <w:bookmarkEnd w:id="103"/>
    <w:bookmarkStart w:name="z134" w:id="104"/>
    <w:p>
      <w:pPr>
        <w:spacing w:after="0"/>
        <w:ind w:left="0"/>
        <w:jc w:val="both"/>
      </w:pPr>
      <w:r>
        <w:rPr>
          <w:rFonts w:ascii="Times New Roman"/>
          <w:b w:val="false"/>
          <w:i w:val="false"/>
          <w:color w:val="000000"/>
          <w:sz w:val="28"/>
        </w:rPr>
        <w:t>
      2) на условиях частичной предварительной оплаты покупаемой безналичной иностранной валюты или частичной предварительной поставки продаваемой безналичной иностранной валюты в соответствии с внутренними документами фондовой биржи (клиринговой организации).";</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63-6</w:t>
      </w:r>
      <w:r>
        <w:rPr>
          <w:rFonts w:ascii="Times New Roman"/>
          <w:b w:val="false"/>
          <w:i w:val="false"/>
          <w:color w:val="000000"/>
          <w:sz w:val="28"/>
        </w:rPr>
        <w:t xml:space="preserve"> изложить в следующей редакции:</w:t>
      </w:r>
    </w:p>
    <w:bookmarkStart w:name="z137" w:id="105"/>
    <w:p>
      <w:pPr>
        <w:spacing w:after="0"/>
        <w:ind w:left="0"/>
        <w:jc w:val="both"/>
      </w:pPr>
      <w:r>
        <w:rPr>
          <w:rFonts w:ascii="Times New Roman"/>
          <w:b w:val="false"/>
          <w:i w:val="false"/>
          <w:color w:val="000000"/>
          <w:sz w:val="28"/>
        </w:rPr>
        <w:t>
      "63-6. Условия и порядок совершения сделок с безналичной иностранной валютой на фондовой бирже с применением услуг клиринговой организации и (или) центрального контрагента, а также условия и порядок обеспечения исполнения обязательств по таким сделкам устанавливаются внутренними документами фондовой биржи, клиринговой организации и (или) центрального контрагента.</w:t>
      </w:r>
    </w:p>
    <w:bookmarkEnd w:id="105"/>
    <w:bookmarkStart w:name="z138" w:id="106"/>
    <w:p>
      <w:pPr>
        <w:spacing w:after="0"/>
        <w:ind w:left="0"/>
        <w:jc w:val="both"/>
      </w:pPr>
      <w:r>
        <w:rPr>
          <w:rFonts w:ascii="Times New Roman"/>
          <w:b w:val="false"/>
          <w:i w:val="false"/>
          <w:color w:val="000000"/>
          <w:sz w:val="28"/>
        </w:rPr>
        <w:t>
      Внутренними документами брокера и (или) дилера определяются дополнительные требования к порядку заключения (подаче заявки на заключение) сделок с безналичной иностранной валютой.";</w:t>
      </w:r>
    </w:p>
    <w:bookmarkEnd w:id="106"/>
    <w:bookmarkStart w:name="z139" w:id="107"/>
    <w:p>
      <w:pPr>
        <w:spacing w:after="0"/>
        <w:ind w:left="0"/>
        <w:jc w:val="both"/>
      </w:pPr>
      <w:r>
        <w:rPr>
          <w:rFonts w:ascii="Times New Roman"/>
          <w:b w:val="false"/>
          <w:i w:val="false"/>
          <w:color w:val="000000"/>
          <w:sz w:val="28"/>
        </w:rPr>
        <w:t>
      дополнить пунктом 65-1 следующего содержания:</w:t>
      </w:r>
    </w:p>
    <w:bookmarkEnd w:id="107"/>
    <w:bookmarkStart w:name="z140" w:id="108"/>
    <w:p>
      <w:pPr>
        <w:spacing w:after="0"/>
        <w:ind w:left="0"/>
        <w:jc w:val="both"/>
      </w:pPr>
      <w:r>
        <w:rPr>
          <w:rFonts w:ascii="Times New Roman"/>
          <w:b w:val="false"/>
          <w:i w:val="false"/>
          <w:color w:val="000000"/>
          <w:sz w:val="28"/>
        </w:rPr>
        <w:t>
      "65-1. Брокер и (или) дилер, не обладающий лицензией уполномоченного органа на осуществление переводных операций, не исполняет поручение клиента по переводу (списанию) его денег в пользу третьих лиц, если данное поручение не связано с исполнением обязательств клиента по сделкам, заключенным с финансовыми инструментами, через данного брокера и (или) дилера.";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42" w:id="109"/>
    <w:p>
      <w:pPr>
        <w:spacing w:after="0"/>
        <w:ind w:left="0"/>
        <w:jc w:val="both"/>
      </w:pPr>
      <w:r>
        <w:rPr>
          <w:rFonts w:ascii="Times New Roman"/>
          <w:b w:val="false"/>
          <w:i w:val="false"/>
          <w:color w:val="000000"/>
          <w:sz w:val="28"/>
        </w:rPr>
        <w:t>
      "67. Брокер и (или) дилер осуществляет в порядке, установленном внутренними документами данного брокера и (или) дилера, достоверный и актуальный (в день возникновения оснований для изменения данных учета) учет путем ведения журналов учета:</w:t>
      </w:r>
    </w:p>
    <w:bookmarkEnd w:id="109"/>
    <w:bookmarkStart w:name="z143" w:id="110"/>
    <w:p>
      <w:pPr>
        <w:spacing w:after="0"/>
        <w:ind w:left="0"/>
        <w:jc w:val="both"/>
      </w:pPr>
      <w:r>
        <w:rPr>
          <w:rFonts w:ascii="Times New Roman"/>
          <w:b w:val="false"/>
          <w:i w:val="false"/>
          <w:color w:val="000000"/>
          <w:sz w:val="28"/>
        </w:rPr>
        <w:t>
      1) клиентских заказов и их исполнения (неисполнения);</w:t>
      </w:r>
    </w:p>
    <w:bookmarkEnd w:id="110"/>
    <w:bookmarkStart w:name="z144" w:id="111"/>
    <w:p>
      <w:pPr>
        <w:spacing w:after="0"/>
        <w:ind w:left="0"/>
        <w:jc w:val="both"/>
      </w:pPr>
      <w:r>
        <w:rPr>
          <w:rFonts w:ascii="Times New Roman"/>
          <w:b w:val="false"/>
          <w:i w:val="false"/>
          <w:color w:val="000000"/>
          <w:sz w:val="28"/>
        </w:rPr>
        <w:t>
      2) заключенных сделок с финансовыми инструментами и их исполнения (неисполнения);</w:t>
      </w:r>
    </w:p>
    <w:bookmarkEnd w:id="111"/>
    <w:bookmarkStart w:name="z145" w:id="112"/>
    <w:p>
      <w:pPr>
        <w:spacing w:after="0"/>
        <w:ind w:left="0"/>
        <w:jc w:val="both"/>
      </w:pPr>
      <w:r>
        <w:rPr>
          <w:rFonts w:ascii="Times New Roman"/>
          <w:b w:val="false"/>
          <w:i w:val="false"/>
          <w:color w:val="000000"/>
          <w:sz w:val="28"/>
        </w:rPr>
        <w:t>
      3) финансовых инструментов на лицевых счетах и изменения их количества;</w:t>
      </w:r>
    </w:p>
    <w:bookmarkEnd w:id="112"/>
    <w:bookmarkStart w:name="z146" w:id="113"/>
    <w:p>
      <w:pPr>
        <w:spacing w:after="0"/>
        <w:ind w:left="0"/>
        <w:jc w:val="both"/>
      </w:pPr>
      <w:r>
        <w:rPr>
          <w:rFonts w:ascii="Times New Roman"/>
          <w:b w:val="false"/>
          <w:i w:val="false"/>
          <w:color w:val="000000"/>
          <w:sz w:val="28"/>
        </w:rPr>
        <w:t>
      4) денег на лицевых счетах и изменения их количества;</w:t>
      </w:r>
    </w:p>
    <w:bookmarkEnd w:id="113"/>
    <w:bookmarkStart w:name="z147" w:id="114"/>
    <w:p>
      <w:pPr>
        <w:spacing w:after="0"/>
        <w:ind w:left="0"/>
        <w:jc w:val="both"/>
      </w:pPr>
      <w:r>
        <w:rPr>
          <w:rFonts w:ascii="Times New Roman"/>
          <w:b w:val="false"/>
          <w:i w:val="false"/>
          <w:color w:val="000000"/>
          <w:sz w:val="28"/>
        </w:rPr>
        <w:t>
      5) поступлений и распределений доходов по финансовым инструментам;</w:t>
      </w:r>
    </w:p>
    <w:bookmarkEnd w:id="114"/>
    <w:bookmarkStart w:name="z148" w:id="115"/>
    <w:p>
      <w:pPr>
        <w:spacing w:after="0"/>
        <w:ind w:left="0"/>
        <w:jc w:val="both"/>
      </w:pPr>
      <w:r>
        <w:rPr>
          <w:rFonts w:ascii="Times New Roman"/>
          <w:b w:val="false"/>
          <w:i w:val="false"/>
          <w:color w:val="000000"/>
          <w:sz w:val="28"/>
        </w:rPr>
        <w:t>
      6) претензий клиентов и мерах по их удовлетворению;</w:t>
      </w:r>
    </w:p>
    <w:bookmarkEnd w:id="115"/>
    <w:bookmarkStart w:name="z149" w:id="116"/>
    <w:p>
      <w:pPr>
        <w:spacing w:after="0"/>
        <w:ind w:left="0"/>
        <w:jc w:val="both"/>
      </w:pPr>
      <w:r>
        <w:rPr>
          <w:rFonts w:ascii="Times New Roman"/>
          <w:b w:val="false"/>
          <w:i w:val="false"/>
          <w:color w:val="000000"/>
          <w:sz w:val="28"/>
        </w:rPr>
        <w:t>
      7) предоставляемых клиентам отчетов об исполнении клиентских заказов;</w:t>
      </w:r>
    </w:p>
    <w:bookmarkEnd w:id="116"/>
    <w:bookmarkStart w:name="z150" w:id="117"/>
    <w:p>
      <w:pPr>
        <w:spacing w:after="0"/>
        <w:ind w:left="0"/>
        <w:jc w:val="both"/>
      </w:pPr>
      <w:r>
        <w:rPr>
          <w:rFonts w:ascii="Times New Roman"/>
          <w:b w:val="false"/>
          <w:i w:val="false"/>
          <w:color w:val="000000"/>
          <w:sz w:val="28"/>
        </w:rPr>
        <w:t>
      8) заключенных брокерских договоров и договоров номинального держания;</w:t>
      </w:r>
    </w:p>
    <w:bookmarkEnd w:id="117"/>
    <w:bookmarkStart w:name="z151" w:id="118"/>
    <w:p>
      <w:pPr>
        <w:spacing w:after="0"/>
        <w:ind w:left="0"/>
        <w:jc w:val="both"/>
      </w:pPr>
      <w:r>
        <w:rPr>
          <w:rFonts w:ascii="Times New Roman"/>
          <w:b w:val="false"/>
          <w:i w:val="false"/>
          <w:color w:val="000000"/>
          <w:sz w:val="28"/>
        </w:rPr>
        <w:t>
      9) инвестиционных решений, принятых в отношении сделок, заключенных за счет собственных активов брокера и (или) дилера;</w:t>
      </w:r>
    </w:p>
    <w:bookmarkEnd w:id="118"/>
    <w:bookmarkStart w:name="z152" w:id="119"/>
    <w:p>
      <w:pPr>
        <w:spacing w:after="0"/>
        <w:ind w:left="0"/>
        <w:jc w:val="both"/>
      </w:pPr>
      <w:r>
        <w:rPr>
          <w:rFonts w:ascii="Times New Roman"/>
          <w:b w:val="false"/>
          <w:i w:val="false"/>
          <w:color w:val="000000"/>
          <w:sz w:val="28"/>
        </w:rPr>
        <w:t>
      10) приказов и (или) поручений на совершение сделок с финансовыми инструментами, переданных другому брокеру и (или) дилеру;</w:t>
      </w:r>
    </w:p>
    <w:bookmarkEnd w:id="119"/>
    <w:bookmarkStart w:name="z153" w:id="120"/>
    <w:p>
      <w:pPr>
        <w:spacing w:after="0"/>
        <w:ind w:left="0"/>
        <w:jc w:val="both"/>
      </w:pPr>
      <w:r>
        <w:rPr>
          <w:rFonts w:ascii="Times New Roman"/>
          <w:b w:val="false"/>
          <w:i w:val="false"/>
          <w:color w:val="000000"/>
          <w:sz w:val="28"/>
        </w:rPr>
        <w:t>
      11) доверенностей, выданных клиентами брокеру и (или) дилеру, и (или) его работнику (работникам) на совершение сделок с финансовыми инструментами за счет и в интересах таких клиентов;</w:t>
      </w:r>
    </w:p>
    <w:bookmarkEnd w:id="120"/>
    <w:bookmarkStart w:name="z154" w:id="121"/>
    <w:p>
      <w:pPr>
        <w:spacing w:after="0"/>
        <w:ind w:left="0"/>
        <w:jc w:val="both"/>
      </w:pPr>
      <w:r>
        <w:rPr>
          <w:rFonts w:ascii="Times New Roman"/>
          <w:b w:val="false"/>
          <w:i w:val="false"/>
          <w:color w:val="000000"/>
          <w:sz w:val="28"/>
        </w:rPr>
        <w:t>
      12) валютных договоров.</w:t>
      </w:r>
    </w:p>
    <w:bookmarkEnd w:id="121"/>
    <w:bookmarkStart w:name="z155" w:id="122"/>
    <w:p>
      <w:pPr>
        <w:spacing w:after="0"/>
        <w:ind w:left="0"/>
        <w:jc w:val="both"/>
      </w:pPr>
      <w:r>
        <w:rPr>
          <w:rFonts w:ascii="Times New Roman"/>
          <w:b w:val="false"/>
          <w:i w:val="false"/>
          <w:color w:val="000000"/>
          <w:sz w:val="28"/>
        </w:rPr>
        <w:t>
      Ведение журнала, указанного в подпункте 9) настоящего пункта, осуществляется брокером и (или) дилером, совмещающим брокерскую и дилерскую деятельность с деятельностью по управлению инвестиционным портфелем.</w:t>
      </w:r>
    </w:p>
    <w:bookmarkEnd w:id="122"/>
    <w:bookmarkStart w:name="z156" w:id="123"/>
    <w:p>
      <w:pPr>
        <w:spacing w:after="0"/>
        <w:ind w:left="0"/>
        <w:jc w:val="both"/>
      </w:pPr>
      <w:r>
        <w:rPr>
          <w:rFonts w:ascii="Times New Roman"/>
          <w:b w:val="false"/>
          <w:i w:val="false"/>
          <w:color w:val="000000"/>
          <w:sz w:val="28"/>
        </w:rPr>
        <w:t>
      Ведение журнала, указанного в подпункте 12) настоящего пункта, осуществляется брокером и (или) дилером при наличии лицензии уполномоченного органа на организацию обменных операций с иностранной валютой.";</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158" w:id="124"/>
    <w:p>
      <w:pPr>
        <w:spacing w:after="0"/>
        <w:ind w:left="0"/>
        <w:jc w:val="both"/>
      </w:pPr>
      <w:r>
        <w:rPr>
          <w:rFonts w:ascii="Times New Roman"/>
          <w:b w:val="false"/>
          <w:i w:val="false"/>
          <w:color w:val="000000"/>
          <w:sz w:val="28"/>
        </w:rPr>
        <w:t>
      "70. Если это предусмотрено брокерским договором и (или) внутренним документом брокера и (или) дилера, брокер и (или) дилер первой категории совершает на основании поручений клиентов сделки купли-продажи ценных бумаг или безналичной иностранной валюты, расчет по которым производится брокером и (или) дилером с использованием денег или ценных бумаг, предоставленных брокером и (или) дилером клиенту на условиях возвратности и платности (далее - маржинальные сделки).</w:t>
      </w:r>
    </w:p>
    <w:bookmarkEnd w:id="124"/>
    <w:bookmarkStart w:name="z159" w:id="125"/>
    <w:p>
      <w:pPr>
        <w:spacing w:after="0"/>
        <w:ind w:left="0"/>
        <w:jc w:val="both"/>
      </w:pPr>
      <w:r>
        <w:rPr>
          <w:rFonts w:ascii="Times New Roman"/>
          <w:b w:val="false"/>
          <w:i w:val="false"/>
          <w:color w:val="000000"/>
          <w:sz w:val="28"/>
        </w:rPr>
        <w:t>
      При этом брокерский договор содержит условия и порядок исполнения обязательств по возврату указанных денег, иностранной валюты или ценных бумаг, ответственность сторон, а также условия совершения маржинальных сделок.</w:t>
      </w:r>
    </w:p>
    <w:bookmarkEnd w:id="125"/>
    <w:bookmarkStart w:name="z160" w:id="126"/>
    <w:p>
      <w:pPr>
        <w:spacing w:after="0"/>
        <w:ind w:left="0"/>
        <w:jc w:val="both"/>
      </w:pPr>
      <w:r>
        <w:rPr>
          <w:rFonts w:ascii="Times New Roman"/>
          <w:b w:val="false"/>
          <w:i w:val="false"/>
          <w:color w:val="000000"/>
          <w:sz w:val="28"/>
        </w:rPr>
        <w:t xml:space="preserve">
      Клиентский заказ на совершение маржинальной сделки содержит, помимо сведений, указанных в </w:t>
      </w:r>
      <w:r>
        <w:rPr>
          <w:rFonts w:ascii="Times New Roman"/>
          <w:b w:val="false"/>
          <w:i w:val="false"/>
          <w:color w:val="000000"/>
          <w:sz w:val="28"/>
        </w:rPr>
        <w:t>пункте 36</w:t>
      </w:r>
      <w:r>
        <w:rPr>
          <w:rFonts w:ascii="Times New Roman"/>
          <w:b w:val="false"/>
          <w:i w:val="false"/>
          <w:color w:val="000000"/>
          <w:sz w:val="28"/>
        </w:rPr>
        <w:t xml:space="preserve"> Правил:</w:t>
      </w:r>
    </w:p>
    <w:bookmarkEnd w:id="126"/>
    <w:bookmarkStart w:name="z161" w:id="127"/>
    <w:p>
      <w:pPr>
        <w:spacing w:after="0"/>
        <w:ind w:left="0"/>
        <w:jc w:val="both"/>
      </w:pPr>
      <w:r>
        <w:rPr>
          <w:rFonts w:ascii="Times New Roman"/>
          <w:b w:val="false"/>
          <w:i w:val="false"/>
          <w:color w:val="000000"/>
          <w:sz w:val="28"/>
        </w:rPr>
        <w:t>
      срок предоставления брокером и (или) дилером денег, иностранной валюты или ценных бумаг клиенту;</w:t>
      </w:r>
    </w:p>
    <w:bookmarkEnd w:id="127"/>
    <w:bookmarkStart w:name="z162" w:id="128"/>
    <w:p>
      <w:pPr>
        <w:spacing w:after="0"/>
        <w:ind w:left="0"/>
        <w:jc w:val="both"/>
      </w:pPr>
      <w:r>
        <w:rPr>
          <w:rFonts w:ascii="Times New Roman"/>
          <w:b w:val="false"/>
          <w:i w:val="false"/>
          <w:color w:val="000000"/>
          <w:sz w:val="28"/>
        </w:rPr>
        <w:t>
      сумму денег или иностранной валюты или количество ценных бумаг, предоставляемых брокером и (или) дилером клиенту для совершения маржинальной сделки;</w:t>
      </w:r>
    </w:p>
    <w:bookmarkEnd w:id="128"/>
    <w:bookmarkStart w:name="z163" w:id="129"/>
    <w:p>
      <w:pPr>
        <w:spacing w:after="0"/>
        <w:ind w:left="0"/>
        <w:jc w:val="both"/>
      </w:pPr>
      <w:r>
        <w:rPr>
          <w:rFonts w:ascii="Times New Roman"/>
          <w:b w:val="false"/>
          <w:i w:val="false"/>
          <w:color w:val="000000"/>
          <w:sz w:val="28"/>
        </w:rPr>
        <w:t>
      сумму денег или иностранной валюты или количество ценных бумаг, предоставляемых клиентом в обеспечение исполнения своих обязательств перед брокером и (или) дилером.</w:t>
      </w:r>
    </w:p>
    <w:bookmarkEnd w:id="129"/>
    <w:bookmarkStart w:name="z164" w:id="130"/>
    <w:p>
      <w:pPr>
        <w:spacing w:after="0"/>
        <w:ind w:left="0"/>
        <w:jc w:val="both"/>
      </w:pPr>
      <w:r>
        <w:rPr>
          <w:rFonts w:ascii="Times New Roman"/>
          <w:b w:val="false"/>
          <w:i w:val="false"/>
          <w:color w:val="000000"/>
          <w:sz w:val="28"/>
        </w:rPr>
        <w:t xml:space="preserve">
      71. При подписании клиентского заказа на совершение маржинальной сделки клиент предоставляет брокеру и (или) дилеру доверенность, выданную на имя уполномоченного лица брокера и (или) дилера, на подписание необходимых документов при совершении сделок, осуществляемых в целях погашения задолженности клиента перед брокером и (или) дилером, либо предоставляет лимитный заказ на покупку (продажу) финансового инструмента при неисполнении клиентом требований </w:t>
      </w:r>
      <w:r>
        <w:rPr>
          <w:rFonts w:ascii="Times New Roman"/>
          <w:b w:val="false"/>
          <w:i w:val="false"/>
          <w:color w:val="000000"/>
          <w:sz w:val="28"/>
        </w:rPr>
        <w:t>пункта 80</w:t>
      </w:r>
      <w:r>
        <w:rPr>
          <w:rFonts w:ascii="Times New Roman"/>
          <w:b w:val="false"/>
          <w:i w:val="false"/>
          <w:color w:val="000000"/>
          <w:sz w:val="28"/>
        </w:rPr>
        <w:t xml:space="preserve"> Правил.</w:t>
      </w:r>
    </w:p>
    <w:bookmarkEnd w:id="130"/>
    <w:bookmarkStart w:name="z165" w:id="131"/>
    <w:p>
      <w:pPr>
        <w:spacing w:after="0"/>
        <w:ind w:left="0"/>
        <w:jc w:val="both"/>
      </w:pPr>
      <w:r>
        <w:rPr>
          <w:rFonts w:ascii="Times New Roman"/>
          <w:b w:val="false"/>
          <w:i w:val="false"/>
          <w:color w:val="000000"/>
          <w:sz w:val="28"/>
        </w:rPr>
        <w:t>
      72. Клиентский заказ на совершение маржинальных сделок принимается брокером и (или) дилером к исполнению при условии:</w:t>
      </w:r>
    </w:p>
    <w:bookmarkEnd w:id="131"/>
    <w:bookmarkStart w:name="z166" w:id="132"/>
    <w:p>
      <w:pPr>
        <w:spacing w:after="0"/>
        <w:ind w:left="0"/>
        <w:jc w:val="both"/>
      </w:pPr>
      <w:r>
        <w:rPr>
          <w:rFonts w:ascii="Times New Roman"/>
          <w:b w:val="false"/>
          <w:i w:val="false"/>
          <w:color w:val="000000"/>
          <w:sz w:val="28"/>
        </w:rPr>
        <w:t>
      1) соблюдения ограничительного уровня маржи (минимального размера маржи, выраженного в процентах, вносимого клиентом в счет обеспечения маржинальной сделки);</w:t>
      </w:r>
    </w:p>
    <w:bookmarkEnd w:id="132"/>
    <w:bookmarkStart w:name="z167" w:id="133"/>
    <w:p>
      <w:pPr>
        <w:spacing w:after="0"/>
        <w:ind w:left="0"/>
        <w:jc w:val="both"/>
      </w:pPr>
      <w:r>
        <w:rPr>
          <w:rFonts w:ascii="Times New Roman"/>
          <w:b w:val="false"/>
          <w:i w:val="false"/>
          <w:color w:val="000000"/>
          <w:sz w:val="28"/>
        </w:rPr>
        <w:t>
      2) предоставления клиентом в обеспечение исполнения своих обязательств, возникших в результате совершения маржинальной сделки, ценных бумаг или иностранной валюты, принадлежащих клиенту, и (или) приобретаемых брокером и (или) дилером для клиента в результате совершения данной маржинальной сделки с условием, предоставления клиентом в обеспечение исполнения своих обязательств, возникших в результате совершения маржинальной сделки, денег или иностранной валюты, принадлежащих клиенту, и (или) получаемых для клиента в результате совершения маржинальной сделки.</w:t>
      </w:r>
    </w:p>
    <w:bookmarkEnd w:id="133"/>
    <w:bookmarkStart w:name="z168" w:id="134"/>
    <w:p>
      <w:pPr>
        <w:spacing w:after="0"/>
        <w:ind w:left="0"/>
        <w:jc w:val="both"/>
      </w:pPr>
      <w:r>
        <w:rPr>
          <w:rFonts w:ascii="Times New Roman"/>
          <w:b w:val="false"/>
          <w:i w:val="false"/>
          <w:color w:val="000000"/>
          <w:sz w:val="28"/>
        </w:rPr>
        <w:t>
      73. При совершении маржинальных сделок брокер и (или) дилер:</w:t>
      </w:r>
    </w:p>
    <w:bookmarkEnd w:id="134"/>
    <w:bookmarkStart w:name="z169" w:id="135"/>
    <w:p>
      <w:pPr>
        <w:spacing w:after="0"/>
        <w:ind w:left="0"/>
        <w:jc w:val="both"/>
      </w:pPr>
      <w:r>
        <w:rPr>
          <w:rFonts w:ascii="Times New Roman"/>
          <w:b w:val="false"/>
          <w:i w:val="false"/>
          <w:color w:val="000000"/>
          <w:sz w:val="28"/>
        </w:rPr>
        <w:t>
      1) исполняет поручения клиента посредством перечисления денег или иностранной валюты и (или) поставки ценных бумаг, принадлежащих брокеру и (или) дилеру;</w:t>
      </w:r>
    </w:p>
    <w:bookmarkEnd w:id="135"/>
    <w:bookmarkStart w:name="z170" w:id="136"/>
    <w:p>
      <w:pPr>
        <w:spacing w:after="0"/>
        <w:ind w:left="0"/>
        <w:jc w:val="both"/>
      </w:pPr>
      <w:r>
        <w:rPr>
          <w:rFonts w:ascii="Times New Roman"/>
          <w:b w:val="false"/>
          <w:i w:val="false"/>
          <w:color w:val="000000"/>
          <w:sz w:val="28"/>
        </w:rPr>
        <w:t>
      2) в случаях, предусмотренных Правилами, приобретает на деньги клиента, являющиеся обеспечением по маржинальной сделке, ценные бумаги или иностранную валюту в количестве, необходимом для выполнения обязательств клиента перед брокером и (или) дилером по поставке ценных бумаг или покупке иностранной валюты;</w:t>
      </w:r>
    </w:p>
    <w:bookmarkEnd w:id="136"/>
    <w:bookmarkStart w:name="z171" w:id="137"/>
    <w:p>
      <w:pPr>
        <w:spacing w:after="0"/>
        <w:ind w:left="0"/>
        <w:jc w:val="both"/>
      </w:pPr>
      <w:r>
        <w:rPr>
          <w:rFonts w:ascii="Times New Roman"/>
          <w:b w:val="false"/>
          <w:i w:val="false"/>
          <w:color w:val="000000"/>
          <w:sz w:val="28"/>
        </w:rPr>
        <w:t>
      3) продает учитываемые на лицевом счете клиента ценные бумаги или учитываемую на банковском счете иностранную валюту в объеме, достаточном для проведения расчетов с клиентом по его обязательствам перед брокером и (или) дилером, возникшим вследствие совершения маржинальных сделок, в случаях, предусмотренных Правилами.";</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74" w:id="138"/>
    <w:p>
      <w:pPr>
        <w:spacing w:after="0"/>
        <w:ind w:left="0"/>
        <w:jc w:val="both"/>
      </w:pPr>
      <w:r>
        <w:rPr>
          <w:rFonts w:ascii="Times New Roman"/>
          <w:b w:val="false"/>
          <w:i w:val="false"/>
          <w:color w:val="000000"/>
          <w:sz w:val="28"/>
        </w:rPr>
        <w:t>
      "75. В случае предоставления брокером и (или) дилером денег клиенту для совершения маржинальной сделки в качестве обеспечения обязательств клиента принимаются:</w:t>
      </w:r>
    </w:p>
    <w:bookmarkEnd w:id="138"/>
    <w:bookmarkStart w:name="z175" w:id="139"/>
    <w:p>
      <w:pPr>
        <w:spacing w:after="0"/>
        <w:ind w:left="0"/>
        <w:jc w:val="both"/>
      </w:pPr>
      <w:r>
        <w:rPr>
          <w:rFonts w:ascii="Times New Roman"/>
          <w:b w:val="false"/>
          <w:i w:val="false"/>
          <w:color w:val="000000"/>
          <w:sz w:val="28"/>
        </w:rPr>
        <w:t>
      1) акции юридических лиц - резидентов Республики Казахстан, имеющих рейтинговую оценку не ниже "ВВ-" по международной шкале агентства Standard &amp; Poor's или рейтинг аналогичного уровня агентств Moody's Investors Service или Fitch, или рейтинговую оценку не ниже "kzA-" по национальной шкале Standard &amp; Poor's, или рейтинг аналогичного уровня по национальной шкале уровня агентств Moody's Investors Service или Fitch, за вычетом резервов на возможные потери;</w:t>
      </w:r>
    </w:p>
    <w:bookmarkEnd w:id="139"/>
    <w:bookmarkStart w:name="z176" w:id="140"/>
    <w:p>
      <w:pPr>
        <w:spacing w:after="0"/>
        <w:ind w:left="0"/>
        <w:jc w:val="both"/>
      </w:pPr>
      <w:r>
        <w:rPr>
          <w:rFonts w:ascii="Times New Roman"/>
          <w:b w:val="false"/>
          <w:i w:val="false"/>
          <w:color w:val="000000"/>
          <w:sz w:val="28"/>
        </w:rPr>
        <w:t>
      2)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(или) акции юридических лиц,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 или акции юридических лиц, находящиеся в представительском списке индекса фондовой биржи;</w:t>
      </w:r>
    </w:p>
    <w:bookmarkEnd w:id="140"/>
    <w:bookmarkStart w:name="z177" w:id="141"/>
    <w:p>
      <w:pPr>
        <w:spacing w:after="0"/>
        <w:ind w:left="0"/>
        <w:jc w:val="both"/>
      </w:pPr>
      <w:r>
        <w:rPr>
          <w:rFonts w:ascii="Times New Roman"/>
          <w:b w:val="false"/>
          <w:i w:val="false"/>
          <w:color w:val="000000"/>
          <w:sz w:val="28"/>
        </w:rPr>
        <w:t>
      3)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имеющие рейтинговую оценку не ниже "В-" по международной шкале агентства Standard &amp; Poor's или рейтинга аналогичного уровня агентств Moody's Investors Service или Fitch, или рейтинговую оценку не ниже "kzBB-" по национальной шкале Standard &amp; Poor's, или рейтинг аналогичного уровня по национальной шкале агентств Moody's Investors Service или Fitch (с учетом сумм основного долга и начисленного вознаграждения), за вычетом резервов на возможные потери;</w:t>
      </w:r>
    </w:p>
    <w:bookmarkEnd w:id="141"/>
    <w:bookmarkStart w:name="z178" w:id="142"/>
    <w:p>
      <w:pPr>
        <w:spacing w:after="0"/>
        <w:ind w:left="0"/>
        <w:jc w:val="both"/>
      </w:pPr>
      <w:r>
        <w:rPr>
          <w:rFonts w:ascii="Times New Roman"/>
          <w:b w:val="false"/>
          <w:i w:val="false"/>
          <w:color w:val="000000"/>
          <w:sz w:val="28"/>
        </w:rPr>
        <w:t>
      4)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включенные в сектор "долговые ценные бумаги" площадки "Основная" официального списка фондовой биржи, негосударственные долговые ценные бумаги юридических лиц - резидентов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142"/>
    <w:bookmarkStart w:name="z179" w:id="143"/>
    <w:p>
      <w:pPr>
        <w:spacing w:after="0"/>
        <w:ind w:left="0"/>
        <w:jc w:val="both"/>
      </w:pPr>
      <w:r>
        <w:rPr>
          <w:rFonts w:ascii="Times New Roman"/>
          <w:b w:val="false"/>
          <w:i w:val="false"/>
          <w:color w:val="000000"/>
          <w:sz w:val="28"/>
        </w:rPr>
        <w:t>
      5) государственные ценные бумаги Республики Казахстан;</w:t>
      </w:r>
    </w:p>
    <w:bookmarkEnd w:id="143"/>
    <w:bookmarkStart w:name="z180" w:id="144"/>
    <w:p>
      <w:pPr>
        <w:spacing w:after="0"/>
        <w:ind w:left="0"/>
        <w:jc w:val="both"/>
      </w:pPr>
      <w:r>
        <w:rPr>
          <w:rFonts w:ascii="Times New Roman"/>
          <w:b w:val="false"/>
          <w:i w:val="false"/>
          <w:color w:val="000000"/>
          <w:sz w:val="28"/>
        </w:rPr>
        <w:t>
      6) государственные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агентств Moody's Investors Service или Fitch;</w:t>
      </w:r>
    </w:p>
    <w:bookmarkEnd w:id="144"/>
    <w:bookmarkStart w:name="z181" w:id="145"/>
    <w:p>
      <w:pPr>
        <w:spacing w:after="0"/>
        <w:ind w:left="0"/>
        <w:jc w:val="both"/>
      </w:pPr>
      <w:r>
        <w:rPr>
          <w:rFonts w:ascii="Times New Roman"/>
          <w:b w:val="false"/>
          <w:i w:val="false"/>
          <w:color w:val="000000"/>
          <w:sz w:val="28"/>
        </w:rPr>
        <w:t>
      7) иностранная валюта стран, имеющих суверенный рейтинг не ниже "АА-" по международной шкале агентства Standard &amp; Poor's или рейтинг аналогичного уровня агентств Moody's Investors Service или Fitch;</w:t>
      </w:r>
    </w:p>
    <w:bookmarkEnd w:id="145"/>
    <w:bookmarkStart w:name="z182" w:id="146"/>
    <w:p>
      <w:pPr>
        <w:spacing w:after="0"/>
        <w:ind w:left="0"/>
        <w:jc w:val="both"/>
      </w:pPr>
      <w:r>
        <w:rPr>
          <w:rFonts w:ascii="Times New Roman"/>
          <w:b w:val="false"/>
          <w:i w:val="false"/>
          <w:color w:val="000000"/>
          <w:sz w:val="28"/>
        </w:rPr>
        <w:t>
      8) негосударственные долговые ценные бумаги юридических лиц - нерезидентов Республики Казахстан, выпущенные в соответствии с законодательством Республики Казахстан о рынке ценных бумаг и других государств, входящие в состав расчетных показателей (индексов), определенных пунктом 75-1 Правил, имеющие рейтинговую оценку не ниже "В-" по международной шкале агентства Standard &amp; Poor's или рейтинга аналогичного уровня агентств Moody's Investors Service или Fitch, или рейтинговую оценку не ниже "kzBB-" по национальной шкале Standard &amp; Poor's, или рейтинг аналогичного уровня по национальной шкале агентств Moody's Investors Service или Fitch (с учетом сумм основного долга и начисленного вознаграждения), за вычетом резервов на возможные потери;</w:t>
      </w:r>
    </w:p>
    <w:bookmarkEnd w:id="146"/>
    <w:bookmarkStart w:name="z183" w:id="147"/>
    <w:p>
      <w:pPr>
        <w:spacing w:after="0"/>
        <w:ind w:left="0"/>
        <w:jc w:val="both"/>
      </w:pPr>
      <w:r>
        <w:rPr>
          <w:rFonts w:ascii="Times New Roman"/>
          <w:b w:val="false"/>
          <w:i w:val="false"/>
          <w:color w:val="000000"/>
          <w:sz w:val="28"/>
        </w:rPr>
        <w:t>
      9) акции, входящие в состав расчетных показателей (индексов), определенных пунктом 75-1 Правил, имеющие рейтинговую оценку не ниже "В-" по международной шкале агентства Standard &amp; Poor's или рейтинга аналогичного уровня агентств Moody's Investors Service или Fitch, или рейтинговую оценку не ниже "kzBB-" по национальной шкале Standard &amp; Poor's, или рейтинг аналогичного уровня по национальной шкале агентств Moody's Investors Service или Fitch.";</w:t>
      </w:r>
    </w:p>
    <w:bookmarkEnd w:id="147"/>
    <w:bookmarkStart w:name="z184" w:id="148"/>
    <w:p>
      <w:pPr>
        <w:spacing w:after="0"/>
        <w:ind w:left="0"/>
        <w:jc w:val="both"/>
      </w:pPr>
      <w:r>
        <w:rPr>
          <w:rFonts w:ascii="Times New Roman"/>
          <w:b w:val="false"/>
          <w:i w:val="false"/>
          <w:color w:val="000000"/>
          <w:sz w:val="28"/>
        </w:rPr>
        <w:t>
      дополнить пунктом 75-1 следующего содержания:</w:t>
      </w:r>
    </w:p>
    <w:bookmarkEnd w:id="148"/>
    <w:bookmarkStart w:name="z185" w:id="149"/>
    <w:p>
      <w:pPr>
        <w:spacing w:after="0"/>
        <w:ind w:left="0"/>
        <w:jc w:val="both"/>
      </w:pPr>
      <w:r>
        <w:rPr>
          <w:rFonts w:ascii="Times New Roman"/>
          <w:b w:val="false"/>
          <w:i w:val="false"/>
          <w:color w:val="000000"/>
          <w:sz w:val="28"/>
        </w:rPr>
        <w:t>
      "75-1. В случае предоставления брокером и (или) дилером денег клиенту для совершения маржинальной сделки с ценными бумагами нерезидентов Республики Казахстан, данные ценные бумаги входят в состав одного из следующих расчетных показателей (индексов):</w:t>
      </w:r>
    </w:p>
    <w:bookmarkEnd w:id="149"/>
    <w:bookmarkStart w:name="z186" w:id="150"/>
    <w:p>
      <w:pPr>
        <w:spacing w:after="0"/>
        <w:ind w:left="0"/>
        <w:jc w:val="both"/>
      </w:pPr>
      <w:r>
        <w:rPr>
          <w:rFonts w:ascii="Times New Roman"/>
          <w:b w:val="false"/>
          <w:i w:val="false"/>
          <w:color w:val="000000"/>
          <w:sz w:val="28"/>
        </w:rPr>
        <w:t>
      AIX (Astana International Exchange)</w:t>
      </w:r>
    </w:p>
    <w:bookmarkEnd w:id="150"/>
    <w:bookmarkStart w:name="z187" w:id="151"/>
    <w:p>
      <w:pPr>
        <w:spacing w:after="0"/>
        <w:ind w:left="0"/>
        <w:jc w:val="both"/>
      </w:pPr>
      <w:r>
        <w:rPr>
          <w:rFonts w:ascii="Times New Roman"/>
          <w:b w:val="false"/>
          <w:i w:val="false"/>
          <w:color w:val="000000"/>
          <w:sz w:val="28"/>
        </w:rPr>
        <w:t>
      САС 40 (Compagnie des Agents de Change 40 Index)</w:t>
      </w:r>
    </w:p>
    <w:bookmarkEnd w:id="151"/>
    <w:bookmarkStart w:name="z188" w:id="152"/>
    <w:p>
      <w:pPr>
        <w:spacing w:after="0"/>
        <w:ind w:left="0"/>
        <w:jc w:val="both"/>
      </w:pPr>
      <w:r>
        <w:rPr>
          <w:rFonts w:ascii="Times New Roman"/>
          <w:b w:val="false"/>
          <w:i w:val="false"/>
          <w:color w:val="000000"/>
          <w:sz w:val="28"/>
        </w:rPr>
        <w:t>
      DAX (Deutscher Aktienindex)</w:t>
      </w:r>
    </w:p>
    <w:bookmarkEnd w:id="152"/>
    <w:bookmarkStart w:name="z189" w:id="153"/>
    <w:p>
      <w:pPr>
        <w:spacing w:after="0"/>
        <w:ind w:left="0"/>
        <w:jc w:val="both"/>
      </w:pPr>
      <w:r>
        <w:rPr>
          <w:rFonts w:ascii="Times New Roman"/>
          <w:b w:val="false"/>
          <w:i w:val="false"/>
          <w:color w:val="000000"/>
          <w:sz w:val="28"/>
        </w:rPr>
        <w:t>
      DJIA (Dow Jones Industrial Average)</w:t>
      </w:r>
    </w:p>
    <w:bookmarkEnd w:id="153"/>
    <w:bookmarkStart w:name="z190" w:id="154"/>
    <w:p>
      <w:pPr>
        <w:spacing w:after="0"/>
        <w:ind w:left="0"/>
        <w:jc w:val="both"/>
      </w:pPr>
      <w:r>
        <w:rPr>
          <w:rFonts w:ascii="Times New Roman"/>
          <w:b w:val="false"/>
          <w:i w:val="false"/>
          <w:color w:val="000000"/>
          <w:sz w:val="28"/>
        </w:rPr>
        <w:t>
      EURO STOXX 50 (EURO STOXX 50 Price Index)</w:t>
      </w:r>
    </w:p>
    <w:bookmarkEnd w:id="154"/>
    <w:bookmarkStart w:name="z191" w:id="155"/>
    <w:p>
      <w:pPr>
        <w:spacing w:after="0"/>
        <w:ind w:left="0"/>
        <w:jc w:val="both"/>
      </w:pPr>
      <w:r>
        <w:rPr>
          <w:rFonts w:ascii="Times New Roman"/>
          <w:b w:val="false"/>
          <w:i w:val="false"/>
          <w:color w:val="000000"/>
          <w:sz w:val="28"/>
        </w:rPr>
        <w:t>
      FTSE 100 (Financial Times Stock Exchange 100 Index)</w:t>
      </w:r>
    </w:p>
    <w:bookmarkEnd w:id="155"/>
    <w:bookmarkStart w:name="z192" w:id="156"/>
    <w:p>
      <w:pPr>
        <w:spacing w:after="0"/>
        <w:ind w:left="0"/>
        <w:jc w:val="both"/>
      </w:pPr>
      <w:r>
        <w:rPr>
          <w:rFonts w:ascii="Times New Roman"/>
          <w:b w:val="false"/>
          <w:i w:val="false"/>
          <w:color w:val="000000"/>
          <w:sz w:val="28"/>
        </w:rPr>
        <w:t>
      HSI (Hang Seng Index)</w:t>
      </w:r>
    </w:p>
    <w:bookmarkEnd w:id="156"/>
    <w:bookmarkStart w:name="z193" w:id="157"/>
    <w:p>
      <w:pPr>
        <w:spacing w:after="0"/>
        <w:ind w:left="0"/>
        <w:jc w:val="both"/>
      </w:pPr>
      <w:r>
        <w:rPr>
          <w:rFonts w:ascii="Times New Roman"/>
          <w:b w:val="false"/>
          <w:i w:val="false"/>
          <w:color w:val="000000"/>
          <w:sz w:val="28"/>
        </w:rPr>
        <w:t>
      KASE (Kazakhstan Stock Exchange Index)</w:t>
      </w:r>
    </w:p>
    <w:bookmarkEnd w:id="157"/>
    <w:bookmarkStart w:name="z194" w:id="158"/>
    <w:p>
      <w:pPr>
        <w:spacing w:after="0"/>
        <w:ind w:left="0"/>
        <w:jc w:val="both"/>
      </w:pPr>
      <w:r>
        <w:rPr>
          <w:rFonts w:ascii="Times New Roman"/>
          <w:b w:val="false"/>
          <w:i w:val="false"/>
          <w:color w:val="000000"/>
          <w:sz w:val="28"/>
        </w:rPr>
        <w:t>
      MSCI World Index (Morgan Stanley Capital International World Index)</w:t>
      </w:r>
    </w:p>
    <w:bookmarkEnd w:id="158"/>
    <w:bookmarkStart w:name="z195" w:id="159"/>
    <w:p>
      <w:pPr>
        <w:spacing w:after="0"/>
        <w:ind w:left="0"/>
        <w:jc w:val="both"/>
      </w:pPr>
      <w:r>
        <w:rPr>
          <w:rFonts w:ascii="Times New Roman"/>
          <w:b w:val="false"/>
          <w:i w:val="false"/>
          <w:color w:val="000000"/>
          <w:sz w:val="28"/>
        </w:rPr>
        <w:t>
      MOEX Russia (Moscow Exchange Russia Index)</w:t>
      </w:r>
    </w:p>
    <w:bookmarkEnd w:id="159"/>
    <w:bookmarkStart w:name="z196" w:id="160"/>
    <w:p>
      <w:pPr>
        <w:spacing w:after="0"/>
        <w:ind w:left="0"/>
        <w:jc w:val="both"/>
      </w:pPr>
      <w:r>
        <w:rPr>
          <w:rFonts w:ascii="Times New Roman"/>
          <w:b w:val="false"/>
          <w:i w:val="false"/>
          <w:color w:val="000000"/>
          <w:sz w:val="28"/>
        </w:rPr>
        <w:t>
      NIKKEI 225 (Nikkei-225 Stock Average Index )</w:t>
      </w:r>
    </w:p>
    <w:bookmarkEnd w:id="160"/>
    <w:bookmarkStart w:name="z197" w:id="161"/>
    <w:p>
      <w:pPr>
        <w:spacing w:after="0"/>
        <w:ind w:left="0"/>
        <w:jc w:val="both"/>
      </w:pPr>
      <w:r>
        <w:rPr>
          <w:rFonts w:ascii="Times New Roman"/>
          <w:b w:val="false"/>
          <w:i w:val="false"/>
          <w:color w:val="000000"/>
          <w:sz w:val="28"/>
        </w:rPr>
        <w:t>
      RTSI (Russian Trade System Index)</w:t>
      </w:r>
    </w:p>
    <w:bookmarkEnd w:id="161"/>
    <w:bookmarkStart w:name="z198" w:id="162"/>
    <w:p>
      <w:pPr>
        <w:spacing w:after="0"/>
        <w:ind w:left="0"/>
        <w:jc w:val="both"/>
      </w:pPr>
      <w:r>
        <w:rPr>
          <w:rFonts w:ascii="Times New Roman"/>
          <w:b w:val="false"/>
          <w:i w:val="false"/>
          <w:color w:val="000000"/>
          <w:sz w:val="28"/>
        </w:rPr>
        <w:t>
      S&amp;P 500 (Standard and Poor's 500 Index)</w:t>
      </w:r>
    </w:p>
    <w:bookmarkEnd w:id="162"/>
    <w:bookmarkStart w:name="z199" w:id="163"/>
    <w:p>
      <w:pPr>
        <w:spacing w:after="0"/>
        <w:ind w:left="0"/>
        <w:jc w:val="both"/>
      </w:pPr>
      <w:r>
        <w:rPr>
          <w:rFonts w:ascii="Times New Roman"/>
          <w:b w:val="false"/>
          <w:i w:val="false"/>
          <w:color w:val="000000"/>
          <w:sz w:val="28"/>
        </w:rPr>
        <w:t>
      TOPIX 100 (Tokyo Stock Price 100 Index)</w:t>
      </w:r>
    </w:p>
    <w:bookmarkEnd w:id="163"/>
    <w:bookmarkStart w:name="z200" w:id="164"/>
    <w:p>
      <w:pPr>
        <w:spacing w:after="0"/>
        <w:ind w:left="0"/>
        <w:jc w:val="both"/>
      </w:pPr>
      <w:r>
        <w:rPr>
          <w:rFonts w:ascii="Times New Roman"/>
          <w:b w:val="false"/>
          <w:i w:val="false"/>
          <w:color w:val="000000"/>
          <w:sz w:val="28"/>
        </w:rPr>
        <w:t>
      NASDAQ-100 (Nasdaq-100 Index)</w:t>
      </w:r>
    </w:p>
    <w:bookmarkEnd w:id="164"/>
    <w:bookmarkStart w:name="z201" w:id="165"/>
    <w:p>
      <w:pPr>
        <w:spacing w:after="0"/>
        <w:ind w:left="0"/>
        <w:jc w:val="both"/>
      </w:pPr>
      <w:r>
        <w:rPr>
          <w:rFonts w:ascii="Times New Roman"/>
          <w:b w:val="false"/>
          <w:i w:val="false"/>
          <w:color w:val="000000"/>
          <w:sz w:val="28"/>
        </w:rPr>
        <w:t xml:space="preserve">
      Брокеру и (или) дилеру не допускается предоставление денег клиенту для совершения маржинальной сделки с ценными бумагами, выпущенными в соответствии с законодательством государств, указанных в </w:t>
      </w:r>
      <w:r>
        <w:rPr>
          <w:rFonts w:ascii="Times New Roman"/>
          <w:b w:val="false"/>
          <w:i w:val="false"/>
          <w:color w:val="000000"/>
          <w:sz w:val="28"/>
        </w:rPr>
        <w:t>перечне</w:t>
      </w:r>
      <w:r>
        <w:rPr>
          <w:rFonts w:ascii="Times New Roman"/>
          <w:b w:val="false"/>
          <w:i w:val="false"/>
          <w:color w:val="000000"/>
          <w:sz w:val="28"/>
        </w:rPr>
        <w:t xml:space="preserve"> оффшорных зон для целей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утвержденному Приказом Министра финансов Республики Казахстан от 10 февраля 2010 года № 52 "Об утверждении Перечня оффшорных зон для целей Закона Республики Казахстан "О противодействии легализации (отмыванию) доходов, полученных преступным путем, и финансированию терроризма", зарегистрированным в Реестре государственной регистрации нормативных правовых актов Республики Казахстан 18 февраля 2010 года под № 6058.";</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изложить в следующей редакции:</w:t>
      </w:r>
    </w:p>
    <w:bookmarkStart w:name="z203" w:id="166"/>
    <w:p>
      <w:pPr>
        <w:spacing w:after="0"/>
        <w:ind w:left="0"/>
        <w:jc w:val="both"/>
      </w:pPr>
      <w:r>
        <w:rPr>
          <w:rFonts w:ascii="Times New Roman"/>
          <w:b w:val="false"/>
          <w:i w:val="false"/>
          <w:color w:val="000000"/>
          <w:sz w:val="28"/>
        </w:rPr>
        <w:t>
      "76. В целях управления возникающими рисками брокер и (или) дилер рассчитывает уровень маржи в отношении каждой сделки. Уровень маржи рассчитывается по следующей формуле:</w:t>
      </w:r>
    </w:p>
    <w:bookmarkEnd w:id="166"/>
    <w:bookmarkStart w:name="z204"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2616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68"/>
    <w:p>
      <w:pPr>
        <w:spacing w:after="0"/>
        <w:ind w:left="0"/>
        <w:jc w:val="both"/>
      </w:pPr>
      <w:r>
        <w:rPr>
          <w:rFonts w:ascii="Times New Roman"/>
          <w:b w:val="false"/>
          <w:i w:val="false"/>
          <w:color w:val="000000"/>
          <w:sz w:val="28"/>
        </w:rPr>
        <w:t>
      где:</w:t>
      </w:r>
    </w:p>
    <w:bookmarkEnd w:id="168"/>
    <w:bookmarkStart w:name="z206" w:id="169"/>
    <w:p>
      <w:pPr>
        <w:spacing w:after="0"/>
        <w:ind w:left="0"/>
        <w:jc w:val="both"/>
      </w:pPr>
      <w:r>
        <w:rPr>
          <w:rFonts w:ascii="Times New Roman"/>
          <w:b w:val="false"/>
          <w:i w:val="false"/>
          <w:color w:val="000000"/>
          <w:sz w:val="28"/>
        </w:rPr>
        <w:t>
      УМд – уровень маржи, рассчитываемый при предоставлении брокером и (или) дилером денег клиенту для совершения маржинальной сделки;</w:t>
      </w:r>
    </w:p>
    <w:bookmarkEnd w:id="169"/>
    <w:bookmarkStart w:name="z207" w:id="170"/>
    <w:p>
      <w:pPr>
        <w:spacing w:after="0"/>
        <w:ind w:left="0"/>
        <w:jc w:val="both"/>
      </w:pPr>
      <w:r>
        <w:rPr>
          <w:rFonts w:ascii="Times New Roman"/>
          <w:b w:val="false"/>
          <w:i w:val="false"/>
          <w:color w:val="000000"/>
          <w:sz w:val="28"/>
        </w:rPr>
        <w:t>
      СДб – сумма денег, предоставляемых клиентом в качестве обеспечения для совершения маржинальной сделки;</w:t>
      </w:r>
    </w:p>
    <w:bookmarkEnd w:id="170"/>
    <w:bookmarkStart w:name="z208" w:id="171"/>
    <w:p>
      <w:pPr>
        <w:spacing w:after="0"/>
        <w:ind w:left="0"/>
        <w:jc w:val="both"/>
      </w:pPr>
      <w:r>
        <w:rPr>
          <w:rFonts w:ascii="Times New Roman"/>
          <w:b w:val="false"/>
          <w:i w:val="false"/>
          <w:color w:val="000000"/>
          <w:sz w:val="28"/>
        </w:rPr>
        <w:t>
      СЦБк – текущая рыночная стоимость ценных бумаг или иностранной валюты клиента, приобретҰнных в результате совершения маржинальной сделки, принимаемых брокером и (или) дилером в качестве обеспечения обязательств клиента на конец текущего рабочего дня.</w:t>
      </w:r>
    </w:p>
    <w:bookmarkEnd w:id="171"/>
    <w:bookmarkStart w:name="z209" w:id="172"/>
    <w:p>
      <w:pPr>
        <w:spacing w:after="0"/>
        <w:ind w:left="0"/>
        <w:jc w:val="both"/>
      </w:pPr>
      <w:r>
        <w:rPr>
          <w:rFonts w:ascii="Times New Roman"/>
          <w:b w:val="false"/>
          <w:i w:val="false"/>
          <w:color w:val="000000"/>
          <w:sz w:val="28"/>
        </w:rPr>
        <w:t>
      77. При заключении сделки на организованном или международных (иностранных) рынках ценных бумаг ограничительный уровень маржи составляет 30 (тридцать) процентов в случае, если более высокий ограничительный уровень маржи не предусмотрен в брокерском договоре с клиентом.</w:t>
      </w:r>
    </w:p>
    <w:bookmarkEnd w:id="172"/>
    <w:bookmarkStart w:name="z210" w:id="173"/>
    <w:p>
      <w:pPr>
        <w:spacing w:after="0"/>
        <w:ind w:left="0"/>
        <w:jc w:val="both"/>
      </w:pPr>
      <w:r>
        <w:rPr>
          <w:rFonts w:ascii="Times New Roman"/>
          <w:b w:val="false"/>
          <w:i w:val="false"/>
          <w:color w:val="000000"/>
          <w:sz w:val="28"/>
        </w:rPr>
        <w:t>
      При заключении сделки на неорганизованном рынке ценных бумаг ограничительный уровень маржи составляет 50 (пятьдесят) процентов в случае, если более высокий ограничительный уровень маржи не предусмотрен в брокерском договоре с клиентом.</w:t>
      </w:r>
    </w:p>
    <w:bookmarkEnd w:id="173"/>
    <w:bookmarkStart w:name="z211" w:id="174"/>
    <w:p>
      <w:pPr>
        <w:spacing w:after="0"/>
        <w:ind w:left="0"/>
        <w:jc w:val="both"/>
      </w:pPr>
      <w:r>
        <w:rPr>
          <w:rFonts w:ascii="Times New Roman"/>
          <w:b w:val="false"/>
          <w:i w:val="false"/>
          <w:color w:val="000000"/>
          <w:sz w:val="28"/>
        </w:rPr>
        <w:t>
      При заключении сделки по покупке или продаже безналичной иностранной валюты ограничительный уровень маржи составляет 10 (десять) процентов в случае, если более высокий ограничительный уровень маржи не предусмотрен в брокерском договоре с клиентом.";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213" w:id="175"/>
    <w:p>
      <w:pPr>
        <w:spacing w:after="0"/>
        <w:ind w:left="0"/>
        <w:jc w:val="both"/>
      </w:pPr>
      <w:r>
        <w:rPr>
          <w:rFonts w:ascii="Times New Roman"/>
          <w:b w:val="false"/>
          <w:i w:val="false"/>
          <w:color w:val="000000"/>
          <w:sz w:val="28"/>
        </w:rPr>
        <w:t>
      "80. Брокер и (или) дилер уведомляет клиента об уменьшении уровня маржи до минимального уровня, при котором объем денег или иностранной валюты или ценных бумаг, внесенных клиентом в качестве обеспечения маржинальной сделки, эквивалентен объему убытков, полученных клиентом по данной маржинальной сделке в результате изменения цены финансового инструмента, являющегося предметом маржинальной сделки.</w:t>
      </w:r>
    </w:p>
    <w:bookmarkEnd w:id="175"/>
    <w:bookmarkStart w:name="z214" w:id="176"/>
    <w:p>
      <w:pPr>
        <w:spacing w:after="0"/>
        <w:ind w:left="0"/>
        <w:jc w:val="both"/>
      </w:pPr>
      <w:r>
        <w:rPr>
          <w:rFonts w:ascii="Times New Roman"/>
          <w:b w:val="false"/>
          <w:i w:val="false"/>
          <w:color w:val="000000"/>
          <w:sz w:val="28"/>
        </w:rPr>
        <w:t>
      Брокер и (или) дилер вправе предусмотреть более высокий минимальный уровень маржи в брокерском договоре.</w:t>
      </w:r>
    </w:p>
    <w:bookmarkEnd w:id="176"/>
    <w:bookmarkStart w:name="z215" w:id="177"/>
    <w:p>
      <w:pPr>
        <w:spacing w:after="0"/>
        <w:ind w:left="0"/>
        <w:jc w:val="both"/>
      </w:pPr>
      <w:r>
        <w:rPr>
          <w:rFonts w:ascii="Times New Roman"/>
          <w:b w:val="false"/>
          <w:i w:val="false"/>
          <w:color w:val="000000"/>
          <w:sz w:val="28"/>
        </w:rPr>
        <w:t>
      В случае уменьшения уровня маржи до минимального уровня маржи и если клиент не внес деньги или иностранную валюту или ценные бумаги в размере, достаточном для увеличения данного уровня до ограничительного уровня маржи в сроки, установленные брокерским договором, брокер и (или) дилер осуществляет реализацию принадлежащих клиенту ценных бумаг или иностранной валюты, составляющих обеспечение, или покупку ценных бумаг или иностранной валюты за счет денег клиента, составляющих обеспечение, в количестве, достаточном для погашения задолженности клиента перед брокером и (или) дилером.";</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217" w:id="178"/>
    <w:p>
      <w:pPr>
        <w:spacing w:after="0"/>
        <w:ind w:left="0"/>
        <w:jc w:val="both"/>
      </w:pPr>
      <w:r>
        <w:rPr>
          <w:rFonts w:ascii="Times New Roman"/>
          <w:b w:val="false"/>
          <w:i w:val="false"/>
          <w:color w:val="000000"/>
          <w:sz w:val="28"/>
        </w:rPr>
        <w:t>
      "94. Брокер и (или) дилер не реже одного раза в месяц производят сверку данных собственного учета количества финансовых инструментов и денег на лицевых и банковских счетах с данными центрального депозитария ценных бумаг, клиринговых организаций и (или) расчетных организаций, кастодианов и банков о количестве финансовых инструментов и денег на счетах, открытых данному брокеру и (или) дилеру.</w:t>
      </w:r>
    </w:p>
    <w:bookmarkEnd w:id="178"/>
    <w:bookmarkStart w:name="z218" w:id="179"/>
    <w:p>
      <w:pPr>
        <w:spacing w:after="0"/>
        <w:ind w:left="0"/>
        <w:jc w:val="both"/>
      </w:pPr>
      <w:r>
        <w:rPr>
          <w:rFonts w:ascii="Times New Roman"/>
          <w:b w:val="false"/>
          <w:i w:val="false"/>
          <w:color w:val="000000"/>
          <w:sz w:val="28"/>
        </w:rPr>
        <w:t>
      В качестве акта сверки также признается выписка, представленная иностранной расчетной организацией при условии отсутствия расхождений по количеству финансовых инструментов и денег. Если в течение десяти рабочих дней со дня ее получения клиент (контрагент) брокера и (или) дилера не заявил об ошибке в предоставленных данных, выписка считается верной и признается в качестве акта сверки.</w:t>
      </w:r>
    </w:p>
    <w:bookmarkEnd w:id="179"/>
    <w:bookmarkStart w:name="z219" w:id="180"/>
    <w:p>
      <w:pPr>
        <w:spacing w:after="0"/>
        <w:ind w:left="0"/>
        <w:jc w:val="both"/>
      </w:pPr>
      <w:r>
        <w:rPr>
          <w:rFonts w:ascii="Times New Roman"/>
          <w:b w:val="false"/>
          <w:i w:val="false"/>
          <w:color w:val="000000"/>
          <w:sz w:val="28"/>
        </w:rPr>
        <w:t>
      Брокер и (или) дилер ежедневно представляет центральному депозитарию ценных бумаг сведения о сумме денег каждого клиента, находящихся на счете, открытом в центральном депозитарии ценных бумаг и предназначенных для заключения сделок с эмиссионными ценными бумагами и иными финансовыми инструментами.".</w:t>
      </w:r>
    </w:p>
    <w:bookmarkEnd w:id="180"/>
    <w:bookmarkStart w:name="z220" w:id="181"/>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опубликовано 16 апреля 2014 года в информационно-правовой системе "Әділет") следующие изменения:</w:t>
      </w:r>
    </w:p>
    <w:bookmarkEnd w:id="181"/>
    <w:bookmarkStart w:name="z221"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182"/>
    <w:bookmarkStart w:name="z222" w:id="183"/>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83"/>
    <w:bookmarkStart w:name="z223" w:id="184"/>
    <w:p>
      <w:pPr>
        <w:spacing w:after="0"/>
        <w:ind w:left="0"/>
        <w:jc w:val="both"/>
      </w:pPr>
      <w:r>
        <w:rPr>
          <w:rFonts w:ascii="Times New Roman"/>
          <w:b w:val="false"/>
          <w:i w:val="false"/>
          <w:color w:val="000000"/>
          <w:sz w:val="28"/>
        </w:rPr>
        <w:t>
      "7) сведения о кастодиане, осуществляющем учет и хранение активов клиента, или сведения о номинальном держателе или об иностранной расчетной организации, осуществляющих учет ценных бумаг клиента, переданных в инвестиционное управление управляющему инвестиционным портфелем;";</w:t>
      </w:r>
    </w:p>
    <w:bookmarkEnd w:id="184"/>
    <w:bookmarkStart w:name="z224" w:id="18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185"/>
    <w:bookmarkStart w:name="z225" w:id="186"/>
    <w:p>
      <w:pPr>
        <w:spacing w:after="0"/>
        <w:ind w:left="0"/>
        <w:jc w:val="both"/>
      </w:pPr>
      <w:r>
        <w:rPr>
          <w:rFonts w:ascii="Times New Roman"/>
          <w:b w:val="false"/>
          <w:i w:val="false"/>
          <w:color w:val="000000"/>
          <w:sz w:val="28"/>
        </w:rPr>
        <w:t>
      "3) сведения о мерах надзорного реагирования, санкциях, административных взысканиях и иных мерах воздействия, примененных уполномоченным органом к данному управляющему инвестиционным портфелем в течение последних двенадцати месяцев. По административным взысканиям предоставляются сведения о наложении административного взыскания на данного управляющего инвестиционным портфелем или его должностных лиц;";</w:t>
      </w:r>
    </w:p>
    <w:bookmarkEnd w:id="186"/>
    <w:bookmarkStart w:name="z226"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187"/>
    <w:bookmarkStart w:name="z227" w:id="188"/>
    <w:p>
      <w:pPr>
        <w:spacing w:after="0"/>
        <w:ind w:left="0"/>
        <w:jc w:val="both"/>
      </w:pPr>
      <w:r>
        <w:rPr>
          <w:rFonts w:ascii="Times New Roman"/>
          <w:b w:val="false"/>
          <w:i w:val="false"/>
          <w:color w:val="000000"/>
          <w:sz w:val="28"/>
        </w:rPr>
        <w:t>
      подпункты 2) и 3) изложить в следующей редакции:</w:t>
      </w:r>
    </w:p>
    <w:bookmarkEnd w:id="188"/>
    <w:bookmarkStart w:name="z228" w:id="189"/>
    <w:p>
      <w:pPr>
        <w:spacing w:after="0"/>
        <w:ind w:left="0"/>
        <w:jc w:val="both"/>
      </w:pPr>
      <w:r>
        <w:rPr>
          <w:rFonts w:ascii="Times New Roman"/>
          <w:b w:val="false"/>
          <w:i w:val="false"/>
          <w:color w:val="000000"/>
          <w:sz w:val="28"/>
        </w:rPr>
        <w:t>
      "2) несоответствии сведений об активах клиента, содержащихся в системе учета управляющего инвестиционным портфелем, сведениям кастодиана или номинального держателя или иностранной расчетной организации, осуществляющих учет активов клиента, переданных в инвестиционное управление управляющему инвестиционным портфелем, и причинах возникновения такого несоответствия;</w:t>
      </w:r>
    </w:p>
    <w:bookmarkEnd w:id="189"/>
    <w:bookmarkStart w:name="z229" w:id="190"/>
    <w:p>
      <w:pPr>
        <w:spacing w:after="0"/>
        <w:ind w:left="0"/>
        <w:jc w:val="both"/>
      </w:pPr>
      <w:r>
        <w:rPr>
          <w:rFonts w:ascii="Times New Roman"/>
          <w:b w:val="false"/>
          <w:i w:val="false"/>
          <w:color w:val="000000"/>
          <w:sz w:val="28"/>
        </w:rPr>
        <w:t>
      3) мерах надзорного реагирования, санкциях, административных взысканиях и иных мерах воздействия, примененных уполномоченным органом к данному управляющему инвестиционным портфелем в течение последних двенадцати месяцев. По административным взысканиям предоставляются сведения о наложении административного взыскания на данного управляющего инвестиционным портфелем или его должностных лиц;";</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31" w:id="191"/>
    <w:p>
      <w:pPr>
        <w:spacing w:after="0"/>
        <w:ind w:left="0"/>
        <w:jc w:val="both"/>
      </w:pPr>
      <w:r>
        <w:rPr>
          <w:rFonts w:ascii="Times New Roman"/>
          <w:b w:val="false"/>
          <w:i w:val="false"/>
          <w:color w:val="000000"/>
          <w:sz w:val="28"/>
        </w:rPr>
        <w:t xml:space="preserve">
      "36. Управляющий инвестиционным портфелем для включения в реестр сделок с производными финансовыми инструментами, заключенными самостоятельно без использования услуг брокера на неорганизованном рынке, ведение которого осуществляется центральным депозитарием (далее - реестр), не позднее 14-00 часов по времени города Нур-Султана первого рабочего дня недели, следующей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и внутренними документами центрального депозитария.</w:t>
      </w:r>
    </w:p>
    <w:bookmarkEnd w:id="191"/>
    <w:bookmarkStart w:name="z232" w:id="192"/>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заключенными на организованном и неорганизованном рынках, а также заключенным и исполненным сделкам в отчетном периоде";</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34" w:id="193"/>
    <w:p>
      <w:pPr>
        <w:spacing w:after="0"/>
        <w:ind w:left="0"/>
        <w:jc w:val="both"/>
      </w:pPr>
      <w:r>
        <w:rPr>
          <w:rFonts w:ascii="Times New Roman"/>
          <w:b w:val="false"/>
          <w:i w:val="false"/>
          <w:color w:val="000000"/>
          <w:sz w:val="28"/>
        </w:rPr>
        <w:t>
      "38. Учет и хранение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а также учет и хранение активов инвестиционных фондов и активов специальной финансовой компании осуществляется кастодианом на основании кастодиального договора, заключенного между кастодианом и управляющим инвестиционным портфелем.</w:t>
      </w:r>
    </w:p>
    <w:bookmarkEnd w:id="193"/>
    <w:bookmarkStart w:name="z235" w:id="194"/>
    <w:p>
      <w:pPr>
        <w:spacing w:after="0"/>
        <w:ind w:left="0"/>
        <w:jc w:val="both"/>
      </w:pPr>
      <w:r>
        <w:rPr>
          <w:rFonts w:ascii="Times New Roman"/>
          <w:b w:val="false"/>
          <w:i w:val="false"/>
          <w:color w:val="000000"/>
          <w:sz w:val="28"/>
        </w:rPr>
        <w:t>
      Учет ценных бумаг клиентов, за исключением клиентов управляющего инвестиционным портфелем, указанных в части первой настоящего пункта Правил, осуществляется иностранной расчетной организацией или профессиональным участником рынка ценных бумаг, оказывающим услуги по номинальному держанию ценных бумаг (далее - номинальный держатель), на основании договора о номинальном держании, заключенного между управляющим инвестиционным портфелем и номинальным держателем.</w:t>
      </w:r>
    </w:p>
    <w:bookmarkEnd w:id="194"/>
    <w:bookmarkStart w:name="z236" w:id="195"/>
    <w:p>
      <w:pPr>
        <w:spacing w:after="0"/>
        <w:ind w:left="0"/>
        <w:jc w:val="both"/>
      </w:pPr>
      <w:r>
        <w:rPr>
          <w:rFonts w:ascii="Times New Roman"/>
          <w:b w:val="false"/>
          <w:i w:val="false"/>
          <w:color w:val="000000"/>
          <w:sz w:val="28"/>
        </w:rPr>
        <w:t>
      Учет и хранение иных, кроме ценных бумаг, активов клиентов осуществляется кастодианом.</w:t>
      </w:r>
    </w:p>
    <w:bookmarkEnd w:id="195"/>
    <w:bookmarkStart w:name="z237" w:id="196"/>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bookmarkEnd w:id="196"/>
    <w:bookmarkStart w:name="z238" w:id="197"/>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или рейтинговую оценку аналогичного уровня агентств Moody's Investors Service или Fitch;</w:t>
      </w:r>
    </w:p>
    <w:bookmarkEnd w:id="197"/>
    <w:bookmarkStart w:name="z239" w:id="198"/>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или рейтинговую оценку аналогичного уровня агентств Moody's Investors Service или Fitch;</w:t>
      </w:r>
    </w:p>
    <w:bookmarkEnd w:id="198"/>
    <w:bookmarkStart w:name="z240" w:id="199"/>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имеющая долгосрочную кредитную рейтинговую оценку не ниже "ВВВ" по международной шкале агентства Standard &amp; Poor's или рейтинговую оценку аналогичного уровня агентств Moody's Investors Service или Fitch;</w:t>
      </w:r>
    </w:p>
    <w:bookmarkEnd w:id="199"/>
    <w:bookmarkStart w:name="z241" w:id="200"/>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соответствующая следующим условиям:</w:t>
      </w:r>
    </w:p>
    <w:bookmarkEnd w:id="200"/>
    <w:bookmarkStart w:name="z242" w:id="201"/>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bookmarkEnd w:id="201"/>
    <w:bookmarkStart w:name="z243" w:id="202"/>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202"/>
    <w:bookmarkStart w:name="z244" w:id="203"/>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или рейтинговую оценку аналогичного уровня агентств Moody's Investors Service или Fitch.";</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246" w:id="204"/>
    <w:p>
      <w:pPr>
        <w:spacing w:after="0"/>
        <w:ind w:left="0"/>
        <w:jc w:val="both"/>
      </w:pPr>
      <w:r>
        <w:rPr>
          <w:rFonts w:ascii="Times New Roman"/>
          <w:b w:val="false"/>
          <w:i w:val="false"/>
          <w:color w:val="000000"/>
          <w:sz w:val="28"/>
        </w:rPr>
        <w:t>
      "41. Учет и хранение денег, принадлежащих клиентам Управляющего инвестиционным портфелем, за исключением учета и хранения золотовалютных активов Национального Банка Республики Казахстан и активов Национального фонда Республики Казахстан, переданных в инвестиционное управление, осуществляется на банковских счетах, открытых Управляющим инвестиционным портфелем в неаффилированных с ним банках, обладающих лицензией на осуществление кастодиальной деятельности на рынке ценных бумаг, или в иностранных расчетных организациях, обладающих аналогичной лицензией, выданной иностранным органом надзора.</w:t>
      </w:r>
    </w:p>
    <w:bookmarkEnd w:id="204"/>
    <w:bookmarkStart w:name="z247" w:id="205"/>
    <w:p>
      <w:pPr>
        <w:spacing w:after="0"/>
        <w:ind w:left="0"/>
        <w:jc w:val="both"/>
      </w:pPr>
      <w:r>
        <w:rPr>
          <w:rFonts w:ascii="Times New Roman"/>
          <w:b w:val="false"/>
          <w:i w:val="false"/>
          <w:color w:val="000000"/>
          <w:sz w:val="28"/>
        </w:rPr>
        <w:t>
      42. Учет и хранение иностранных финансовых инструментов клиентов, за исключением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а также активов инвестиционных фондов и активов специальной финансовой компании, может осуществляться иностранной расчетной организацией.".</w:t>
      </w:r>
    </w:p>
    <w:bookmarkEnd w:id="205"/>
    <w:bookmarkStart w:name="z248" w:id="206"/>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опубликовано 28 ноября 2014 года в информационно-правовой системе "Әділет") следующие изменения и дополнение:</w:t>
      </w:r>
    </w:p>
    <w:bookmarkEnd w:id="206"/>
    <w:bookmarkStart w:name="z249"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указанным постановлением:</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1" w:id="208"/>
    <w:p>
      <w:pPr>
        <w:spacing w:after="0"/>
        <w:ind w:left="0"/>
        <w:jc w:val="both"/>
      </w:pPr>
      <w:r>
        <w:rPr>
          <w:rFonts w:ascii="Times New Roman"/>
          <w:b w:val="false"/>
          <w:i w:val="false"/>
          <w:color w:val="000000"/>
          <w:sz w:val="28"/>
        </w:rPr>
        <w:t>
      "6. На лицевых счетах открываются следующие разделы:</w:t>
      </w:r>
    </w:p>
    <w:bookmarkEnd w:id="208"/>
    <w:bookmarkStart w:name="z252" w:id="209"/>
    <w:p>
      <w:pPr>
        <w:spacing w:after="0"/>
        <w:ind w:left="0"/>
        <w:jc w:val="both"/>
      </w:pPr>
      <w:r>
        <w:rPr>
          <w:rFonts w:ascii="Times New Roman"/>
          <w:b w:val="false"/>
          <w:i w:val="false"/>
          <w:color w:val="000000"/>
          <w:sz w:val="28"/>
        </w:rPr>
        <w:t>
      1) "основной" - предназначен для учета ценных бумаг (прав требования по обязательствам эмитента по эмиссионным ценным бумагам), на которые не установлены ограничения на проведение сделок;</w:t>
      </w:r>
    </w:p>
    <w:bookmarkEnd w:id="209"/>
    <w:bookmarkStart w:name="z253" w:id="210"/>
    <w:p>
      <w:pPr>
        <w:spacing w:after="0"/>
        <w:ind w:left="0"/>
        <w:jc w:val="both"/>
      </w:pPr>
      <w:r>
        <w:rPr>
          <w:rFonts w:ascii="Times New Roman"/>
          <w:b w:val="false"/>
          <w:i w:val="false"/>
          <w:color w:val="000000"/>
          <w:sz w:val="28"/>
        </w:rPr>
        <w:t>
      2) "блокирование" - предназначен для учета ценных бумаг (прав требования по обязательствам эмитента по эмиссионным ценным бумагам), на которые на основании решения государственного органа, уполномоченного в соответствии с законами Республики Казахстан на принятие такого решения, наложен временный запрет на регистрацию гражданско-правовых сделок с ценными бумагами (правами требования по обязательствам эмитента по эмиссионным ценным бумагам), осуществляемый с целью гарантирования сохранности ценных бумаг (прав требования по обязательствам эмитента по эмиссионным ценным бумагам);</w:t>
      </w:r>
    </w:p>
    <w:bookmarkEnd w:id="210"/>
    <w:bookmarkStart w:name="z254" w:id="211"/>
    <w:p>
      <w:pPr>
        <w:spacing w:after="0"/>
        <w:ind w:left="0"/>
        <w:jc w:val="both"/>
      </w:pPr>
      <w:r>
        <w:rPr>
          <w:rFonts w:ascii="Times New Roman"/>
          <w:b w:val="false"/>
          <w:i w:val="false"/>
          <w:color w:val="000000"/>
          <w:sz w:val="28"/>
        </w:rPr>
        <w:t>
      3) "репо" - предназначен для учета ценных бумаг, являющихся предметом операции "репо", заключенных автоматическим способом и без использования услуг Центрального контрагента;</w:t>
      </w:r>
    </w:p>
    <w:bookmarkEnd w:id="211"/>
    <w:bookmarkStart w:name="z255" w:id="212"/>
    <w:p>
      <w:pPr>
        <w:spacing w:after="0"/>
        <w:ind w:left="0"/>
        <w:jc w:val="both"/>
      </w:pPr>
      <w:r>
        <w:rPr>
          <w:rFonts w:ascii="Times New Roman"/>
          <w:b w:val="false"/>
          <w:i w:val="false"/>
          <w:color w:val="000000"/>
          <w:sz w:val="28"/>
        </w:rPr>
        <w:t>
      4) "обременение" - предназначен для учета ценных бумаг (прав требования по обязательствам эмитента по эмиссионным ценным бумагам), на которые наложены ограничения на осуществление сделок для обеспечения обязательств держателя ценных бумаг (прав требования по обязательствам эмитента по эмиссионным ценным бумагам) перед другими лицами, возникших на основании гражданско-правовой сделки;</w:t>
      </w:r>
    </w:p>
    <w:bookmarkEnd w:id="212"/>
    <w:bookmarkStart w:name="z256" w:id="213"/>
    <w:p>
      <w:pPr>
        <w:spacing w:after="0"/>
        <w:ind w:left="0"/>
        <w:jc w:val="both"/>
      </w:pPr>
      <w:r>
        <w:rPr>
          <w:rFonts w:ascii="Times New Roman"/>
          <w:b w:val="false"/>
          <w:i w:val="false"/>
          <w:color w:val="000000"/>
          <w:sz w:val="28"/>
        </w:rPr>
        <w:t>
      5) "раздел клиринговой организации (центрального контрагента)" – предназначен для учета финансовых инструментов, являющихся взносами в гарантийные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 операции по данному разделу могут совершаться только при наличии соответствующего распоряжения клиринговой организации (центрального контрагента) после исполнения клиринговым участником всех своих обязательств по заключенным сделкам и (или) проведения процедур по урегулированию дефолта.</w:t>
      </w:r>
    </w:p>
    <w:bookmarkEnd w:id="213"/>
    <w:bookmarkStart w:name="z257" w:id="214"/>
    <w:p>
      <w:pPr>
        <w:spacing w:after="0"/>
        <w:ind w:left="0"/>
        <w:jc w:val="both"/>
      </w:pPr>
      <w:r>
        <w:rPr>
          <w:rFonts w:ascii="Times New Roman"/>
          <w:b w:val="false"/>
          <w:i w:val="false"/>
          <w:color w:val="000000"/>
          <w:sz w:val="28"/>
        </w:rPr>
        <w:t>
      Номинальный держатель может открывать на лицевом счете дополнительные разделы для учета ценных бумаг.";</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33-1</w:t>
      </w:r>
      <w:r>
        <w:rPr>
          <w:rFonts w:ascii="Times New Roman"/>
          <w:b w:val="false"/>
          <w:i w:val="false"/>
          <w:color w:val="000000"/>
          <w:sz w:val="28"/>
        </w:rPr>
        <w:t xml:space="preserve"> и </w:t>
      </w:r>
      <w:r>
        <w:rPr>
          <w:rFonts w:ascii="Times New Roman"/>
          <w:b w:val="false"/>
          <w:i w:val="false"/>
          <w:color w:val="000000"/>
          <w:sz w:val="28"/>
        </w:rPr>
        <w:t>33-2</w:t>
      </w:r>
      <w:r>
        <w:rPr>
          <w:rFonts w:ascii="Times New Roman"/>
          <w:b w:val="false"/>
          <w:i w:val="false"/>
          <w:color w:val="000000"/>
          <w:sz w:val="28"/>
        </w:rPr>
        <w:t xml:space="preserve"> изложить в следующей редакции:</w:t>
      </w:r>
    </w:p>
    <w:bookmarkStart w:name="z259" w:id="215"/>
    <w:p>
      <w:pPr>
        <w:spacing w:after="0"/>
        <w:ind w:left="0"/>
        <w:jc w:val="both"/>
      </w:pPr>
      <w:r>
        <w:rPr>
          <w:rFonts w:ascii="Times New Roman"/>
          <w:b w:val="false"/>
          <w:i w:val="false"/>
          <w:color w:val="000000"/>
          <w:sz w:val="28"/>
        </w:rPr>
        <w:t xml:space="preserve">
      "33-1. В случае реорганизации номинального держателя (номинальных держателей) в форме разделения или слияния юридическое лицо, возникшее в результате такой реорганизации и переоформившее лицензию реорганизованного номинального держателя (реорганизованных номинальных держателей) в порядке, установленном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Закона Республики Казахстан от 16 мая 2014 года "О разрешениях и уведомлениях", осуществляет подачу приказа центральному депозитарию на совершение операций, указанных в </w:t>
      </w:r>
      <w:r>
        <w:rPr>
          <w:rFonts w:ascii="Times New Roman"/>
          <w:b w:val="false"/>
          <w:i w:val="false"/>
          <w:color w:val="000000"/>
          <w:sz w:val="28"/>
        </w:rPr>
        <w:t>пункте 37</w:t>
      </w:r>
      <w:r>
        <w:rPr>
          <w:rFonts w:ascii="Times New Roman"/>
          <w:b w:val="false"/>
          <w:i w:val="false"/>
          <w:color w:val="000000"/>
          <w:sz w:val="28"/>
        </w:rPr>
        <w:t xml:space="preserve"> Правил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(далее - Правила № 307), в течение 30 (тридцати) календарных дней со дня получения от уполномоченного органа переоформленной лицензии.</w:t>
      </w:r>
    </w:p>
    <w:bookmarkEnd w:id="215"/>
    <w:bookmarkStart w:name="z260" w:id="216"/>
    <w:p>
      <w:pPr>
        <w:spacing w:after="0"/>
        <w:ind w:left="0"/>
        <w:jc w:val="both"/>
      </w:pPr>
      <w:r>
        <w:rPr>
          <w:rFonts w:ascii="Times New Roman"/>
          <w:b w:val="false"/>
          <w:i w:val="false"/>
          <w:color w:val="000000"/>
          <w:sz w:val="28"/>
        </w:rPr>
        <w:t xml:space="preserve">
      33-2. В случае реорганизации номинальных держателей в форме присоединения номинальный держатель, к которому производится присоединение, осуществляет подачу приказа центральному депозитарию на совершение операций,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37 Правил № 307, в течение 10 (десяти) рабочих дней со дня подписания сторонами передаточного акта в соответствии с законодательством Республики Казахстан об акционерных обществах.";</w:t>
      </w:r>
    </w:p>
    <w:bookmarkEnd w:id="216"/>
    <w:bookmarkStart w:name="z261" w:id="21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217"/>
    <w:bookmarkStart w:name="z262" w:id="218"/>
    <w:p>
      <w:pPr>
        <w:spacing w:after="0"/>
        <w:ind w:left="0"/>
        <w:jc w:val="both"/>
      </w:pPr>
      <w:r>
        <w:rPr>
          <w:rFonts w:ascii="Times New Roman"/>
          <w:b w:val="false"/>
          <w:i w:val="false"/>
          <w:color w:val="000000"/>
          <w:sz w:val="28"/>
        </w:rPr>
        <w:t>
      "Операции "репо", осуществляемые на организованном рынке автоматическим способом, в случае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закрываются в соответствии с правилами организатора торгов.";</w:t>
      </w:r>
    </w:p>
    <w:bookmarkEnd w:id="218"/>
    <w:bookmarkStart w:name="z263" w:id="219"/>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219"/>
    <w:bookmarkStart w:name="z264" w:id="220"/>
    <w:p>
      <w:pPr>
        <w:spacing w:after="0"/>
        <w:ind w:left="0"/>
        <w:jc w:val="both"/>
      </w:pPr>
      <w:r>
        <w:rPr>
          <w:rFonts w:ascii="Times New Roman"/>
          <w:b w:val="false"/>
          <w:i w:val="false"/>
          <w:color w:val="000000"/>
          <w:sz w:val="28"/>
        </w:rPr>
        <w:t>
      "9) сведения о цене одной ценной бумаги (права требования по обязательствам эмитента по одной эмиссионной ценной бумаге), являющейся предметом сделки или сумме сделки;";</w:t>
      </w:r>
    </w:p>
    <w:bookmarkEnd w:id="220"/>
    <w:bookmarkStart w:name="z265" w:id="22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221"/>
    <w:bookmarkStart w:name="z266" w:id="222"/>
    <w:p>
      <w:pPr>
        <w:spacing w:after="0"/>
        <w:ind w:left="0"/>
        <w:jc w:val="both"/>
      </w:pPr>
      <w:r>
        <w:rPr>
          <w:rFonts w:ascii="Times New Roman"/>
          <w:b w:val="false"/>
          <w:i w:val="false"/>
          <w:color w:val="000000"/>
          <w:sz w:val="28"/>
        </w:rPr>
        <w:t>
      "В случае обращения клиента номинального держателя за получением электронных услуг допускается подача приказов в форме электронного документа или иной электронно-цифровой форме, удостоверенной посредством динамической идентификации клиента, а также с использованием систем SWIFT, Bloomberg, Reuters. Порядок и условия подачи приказов, а также их форматы определяются внутренними документами номинального держателя.";</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268" w:id="223"/>
    <w:p>
      <w:pPr>
        <w:spacing w:after="0"/>
        <w:ind w:left="0"/>
        <w:jc w:val="both"/>
      </w:pPr>
      <w:r>
        <w:rPr>
          <w:rFonts w:ascii="Times New Roman"/>
          <w:b w:val="false"/>
          <w:i w:val="false"/>
          <w:color w:val="000000"/>
          <w:sz w:val="28"/>
        </w:rPr>
        <w:t>
      "44. Операция "репо" на неорганизованном рынке регистрируется номинальным держателем на основании встречных приказов на регистрацию сделки.</w:t>
      </w:r>
    </w:p>
    <w:bookmarkEnd w:id="223"/>
    <w:bookmarkStart w:name="z269" w:id="224"/>
    <w:p>
      <w:pPr>
        <w:spacing w:after="0"/>
        <w:ind w:left="0"/>
        <w:jc w:val="both"/>
      </w:pPr>
      <w:r>
        <w:rPr>
          <w:rFonts w:ascii="Times New Roman"/>
          <w:b w:val="false"/>
          <w:i w:val="false"/>
          <w:color w:val="000000"/>
          <w:sz w:val="28"/>
        </w:rPr>
        <w:t>
      Операция "репо" подразделяется на:</w:t>
      </w:r>
    </w:p>
    <w:bookmarkEnd w:id="224"/>
    <w:bookmarkStart w:name="z270" w:id="225"/>
    <w:p>
      <w:pPr>
        <w:spacing w:after="0"/>
        <w:ind w:left="0"/>
        <w:jc w:val="both"/>
      </w:pPr>
      <w:r>
        <w:rPr>
          <w:rFonts w:ascii="Times New Roman"/>
          <w:b w:val="false"/>
          <w:i w:val="false"/>
          <w:color w:val="000000"/>
          <w:sz w:val="28"/>
        </w:rPr>
        <w:t>
      открытие "репо" - сделка купли-продажи ценных бумаг, предполагающая перевод денег в сумме данной сделки от одного из участников операции "репо" второму и передачу определенного количества ценных бумаг вторым участником операции "репо" первому;</w:t>
      </w:r>
    </w:p>
    <w:bookmarkEnd w:id="225"/>
    <w:bookmarkStart w:name="z271" w:id="226"/>
    <w:p>
      <w:pPr>
        <w:spacing w:after="0"/>
        <w:ind w:left="0"/>
        <w:jc w:val="both"/>
      </w:pPr>
      <w:r>
        <w:rPr>
          <w:rFonts w:ascii="Times New Roman"/>
          <w:b w:val="false"/>
          <w:i w:val="false"/>
          <w:color w:val="000000"/>
          <w:sz w:val="28"/>
        </w:rPr>
        <w:t>
      закрытие "репо" - сделка купли-продажи ценных бумаг, как и в случае сделки открытия "репо", предполагающая передачу денег в сумме данной сделки от второго участника операции "репо" первому и возврат того же, что и в сделке открытия "репо", количества ценных бумаг того же выпуска первым участником операции "репо" второму.</w:t>
      </w:r>
    </w:p>
    <w:bookmarkEnd w:id="226"/>
    <w:bookmarkStart w:name="z272" w:id="227"/>
    <w:p>
      <w:pPr>
        <w:spacing w:after="0"/>
        <w:ind w:left="0"/>
        <w:jc w:val="both"/>
      </w:pPr>
      <w:r>
        <w:rPr>
          <w:rFonts w:ascii="Times New Roman"/>
          <w:b w:val="false"/>
          <w:i w:val="false"/>
          <w:color w:val="000000"/>
          <w:sz w:val="28"/>
        </w:rPr>
        <w:t>
      При проведении открытия "репо" между клиентами одного номинального держателя, ценные бумаги переводятся с раздела "основной" лицевого счета продавца на раздел "основной" лицевого счета покупателя. При проведении закрытия "репо" между клиентами одного номинального держателя ценные бумаги переводятся с раздела "основной" лицевого счета покупателя на раздел "основной" лицевого счета продавца.";</w:t>
      </w:r>
    </w:p>
    <w:bookmarkEnd w:id="227"/>
    <w:bookmarkStart w:name="z273" w:id="228"/>
    <w:p>
      <w:pPr>
        <w:spacing w:after="0"/>
        <w:ind w:left="0"/>
        <w:jc w:val="both"/>
      </w:pPr>
      <w:r>
        <w:rPr>
          <w:rFonts w:ascii="Times New Roman"/>
          <w:b w:val="false"/>
          <w:i w:val="false"/>
          <w:color w:val="000000"/>
          <w:sz w:val="28"/>
        </w:rPr>
        <w:t>
      дополнить пунктами 44-1, 44-2, 44-3, 44-4, 44-5 и 44-6 следующего содержания:</w:t>
      </w:r>
    </w:p>
    <w:bookmarkEnd w:id="228"/>
    <w:bookmarkStart w:name="z274" w:id="229"/>
    <w:p>
      <w:pPr>
        <w:spacing w:after="0"/>
        <w:ind w:left="0"/>
        <w:jc w:val="both"/>
      </w:pPr>
      <w:r>
        <w:rPr>
          <w:rFonts w:ascii="Times New Roman"/>
          <w:b w:val="false"/>
          <w:i w:val="false"/>
          <w:color w:val="000000"/>
          <w:sz w:val="28"/>
        </w:rPr>
        <w:t>
      "44-1. Основаниями для проведения операции репо служит приказ клиента или биржевое свидетельство.</w:t>
      </w:r>
    </w:p>
    <w:bookmarkEnd w:id="229"/>
    <w:bookmarkStart w:name="z275" w:id="230"/>
    <w:p>
      <w:pPr>
        <w:spacing w:after="0"/>
        <w:ind w:left="0"/>
        <w:jc w:val="both"/>
      </w:pPr>
      <w:r>
        <w:rPr>
          <w:rFonts w:ascii="Times New Roman"/>
          <w:b w:val="false"/>
          <w:i w:val="false"/>
          <w:color w:val="000000"/>
          <w:sz w:val="28"/>
        </w:rPr>
        <w:t>
      44-2. Операции "репо" по методу заключения классифицируются следующим образом:</w:t>
      </w:r>
    </w:p>
    <w:bookmarkEnd w:id="230"/>
    <w:bookmarkStart w:name="z276" w:id="231"/>
    <w:p>
      <w:pPr>
        <w:spacing w:after="0"/>
        <w:ind w:left="0"/>
        <w:jc w:val="both"/>
      </w:pPr>
      <w:r>
        <w:rPr>
          <w:rFonts w:ascii="Times New Roman"/>
          <w:b w:val="false"/>
          <w:i w:val="false"/>
          <w:color w:val="000000"/>
          <w:sz w:val="28"/>
        </w:rPr>
        <w:t>
      1) операции "репо", заключаемые на неорганизованном рынке;</w:t>
      </w:r>
    </w:p>
    <w:bookmarkEnd w:id="231"/>
    <w:bookmarkStart w:name="z277" w:id="232"/>
    <w:p>
      <w:pPr>
        <w:spacing w:after="0"/>
        <w:ind w:left="0"/>
        <w:jc w:val="both"/>
      </w:pPr>
      <w:r>
        <w:rPr>
          <w:rFonts w:ascii="Times New Roman"/>
          <w:b w:val="false"/>
          <w:i w:val="false"/>
          <w:color w:val="000000"/>
          <w:sz w:val="28"/>
        </w:rPr>
        <w:t>
      2) операции "репо", заключаемые на организованном рынке прямым способом;</w:t>
      </w:r>
    </w:p>
    <w:bookmarkEnd w:id="232"/>
    <w:bookmarkStart w:name="z278" w:id="233"/>
    <w:p>
      <w:pPr>
        <w:spacing w:after="0"/>
        <w:ind w:left="0"/>
        <w:jc w:val="both"/>
      </w:pPr>
      <w:r>
        <w:rPr>
          <w:rFonts w:ascii="Times New Roman"/>
          <w:b w:val="false"/>
          <w:i w:val="false"/>
          <w:color w:val="000000"/>
          <w:sz w:val="28"/>
        </w:rPr>
        <w:t>
      3) операции "репо", заключаемые на организованном рынке, автоматическим способом без использования услуг центрального контрагента;</w:t>
      </w:r>
    </w:p>
    <w:bookmarkEnd w:id="233"/>
    <w:bookmarkStart w:name="z279" w:id="234"/>
    <w:p>
      <w:pPr>
        <w:spacing w:after="0"/>
        <w:ind w:left="0"/>
        <w:jc w:val="both"/>
      </w:pPr>
      <w:r>
        <w:rPr>
          <w:rFonts w:ascii="Times New Roman"/>
          <w:b w:val="false"/>
          <w:i w:val="false"/>
          <w:color w:val="000000"/>
          <w:sz w:val="28"/>
        </w:rPr>
        <w:t>
      4) операции "репо" заключаемые на организованном рынке, автоматическим способом с использованием услуг центрального контрагента.</w:t>
      </w:r>
    </w:p>
    <w:bookmarkEnd w:id="234"/>
    <w:bookmarkStart w:name="z280" w:id="235"/>
    <w:p>
      <w:pPr>
        <w:spacing w:after="0"/>
        <w:ind w:left="0"/>
        <w:jc w:val="both"/>
      </w:pPr>
      <w:r>
        <w:rPr>
          <w:rFonts w:ascii="Times New Roman"/>
          <w:b w:val="false"/>
          <w:i w:val="false"/>
          <w:color w:val="000000"/>
          <w:sz w:val="28"/>
        </w:rPr>
        <w:t>
      44-3. При проведении открытия "репо", заключенной методом, указанным в подпункте 3) пункта 44-2, ценные бумаги:</w:t>
      </w:r>
    </w:p>
    <w:bookmarkEnd w:id="235"/>
    <w:bookmarkStart w:name="z281" w:id="236"/>
    <w:p>
      <w:pPr>
        <w:spacing w:after="0"/>
        <w:ind w:left="0"/>
        <w:jc w:val="both"/>
      </w:pPr>
      <w:r>
        <w:rPr>
          <w:rFonts w:ascii="Times New Roman"/>
          <w:b w:val="false"/>
          <w:i w:val="false"/>
          <w:color w:val="000000"/>
          <w:sz w:val="28"/>
        </w:rPr>
        <w:t>
      1) списываются с раздела "раздел клиринговой организации (центрального контрагента)" лицевого счета продавца;</w:t>
      </w:r>
    </w:p>
    <w:bookmarkEnd w:id="236"/>
    <w:bookmarkStart w:name="z282" w:id="237"/>
    <w:p>
      <w:pPr>
        <w:spacing w:after="0"/>
        <w:ind w:left="0"/>
        <w:jc w:val="both"/>
      </w:pPr>
      <w:r>
        <w:rPr>
          <w:rFonts w:ascii="Times New Roman"/>
          <w:b w:val="false"/>
          <w:i w:val="false"/>
          <w:color w:val="000000"/>
          <w:sz w:val="28"/>
        </w:rPr>
        <w:t>
      2) зачисляются на раздел "репо" лицевого счета покупателя.</w:t>
      </w:r>
    </w:p>
    <w:bookmarkEnd w:id="237"/>
    <w:bookmarkStart w:name="z283" w:id="238"/>
    <w:p>
      <w:pPr>
        <w:spacing w:after="0"/>
        <w:ind w:left="0"/>
        <w:jc w:val="both"/>
      </w:pPr>
      <w:r>
        <w:rPr>
          <w:rFonts w:ascii="Times New Roman"/>
          <w:b w:val="false"/>
          <w:i w:val="false"/>
          <w:color w:val="000000"/>
          <w:sz w:val="28"/>
        </w:rPr>
        <w:t>
      44-4. При проведении закрытия "репо", заключенной методом, указанным в подпункте 3) пункта 44-2, ценные бумаги:</w:t>
      </w:r>
    </w:p>
    <w:bookmarkEnd w:id="238"/>
    <w:bookmarkStart w:name="z284" w:id="239"/>
    <w:p>
      <w:pPr>
        <w:spacing w:after="0"/>
        <w:ind w:left="0"/>
        <w:jc w:val="both"/>
      </w:pPr>
      <w:r>
        <w:rPr>
          <w:rFonts w:ascii="Times New Roman"/>
          <w:b w:val="false"/>
          <w:i w:val="false"/>
          <w:color w:val="000000"/>
          <w:sz w:val="28"/>
        </w:rPr>
        <w:t>
      1) списываются с раздела "репо" лицевого счета покупателя;</w:t>
      </w:r>
    </w:p>
    <w:bookmarkEnd w:id="239"/>
    <w:bookmarkStart w:name="z285" w:id="240"/>
    <w:p>
      <w:pPr>
        <w:spacing w:after="0"/>
        <w:ind w:left="0"/>
        <w:jc w:val="both"/>
      </w:pPr>
      <w:r>
        <w:rPr>
          <w:rFonts w:ascii="Times New Roman"/>
          <w:b w:val="false"/>
          <w:i w:val="false"/>
          <w:color w:val="000000"/>
          <w:sz w:val="28"/>
        </w:rPr>
        <w:t>
      2) зачисляются на раздел "раздел клиринговой организации (центрального контрагента)" лицевого счета продавца.</w:t>
      </w:r>
    </w:p>
    <w:bookmarkEnd w:id="240"/>
    <w:bookmarkStart w:name="z286" w:id="241"/>
    <w:p>
      <w:pPr>
        <w:spacing w:after="0"/>
        <w:ind w:left="0"/>
        <w:jc w:val="both"/>
      </w:pPr>
      <w:r>
        <w:rPr>
          <w:rFonts w:ascii="Times New Roman"/>
          <w:b w:val="false"/>
          <w:i w:val="false"/>
          <w:color w:val="000000"/>
          <w:sz w:val="28"/>
        </w:rPr>
        <w:t>
      44-5. При проведении открытия "репо", заключенной методами, указанными в подпунктах 2) и 4) пункта 44-2, ценные бумаги:</w:t>
      </w:r>
    </w:p>
    <w:bookmarkEnd w:id="241"/>
    <w:bookmarkStart w:name="z287" w:id="242"/>
    <w:p>
      <w:pPr>
        <w:spacing w:after="0"/>
        <w:ind w:left="0"/>
        <w:jc w:val="both"/>
      </w:pPr>
      <w:r>
        <w:rPr>
          <w:rFonts w:ascii="Times New Roman"/>
          <w:b w:val="false"/>
          <w:i w:val="false"/>
          <w:color w:val="000000"/>
          <w:sz w:val="28"/>
        </w:rPr>
        <w:t>
      1) списываются с раздела "раздел клиринговой организации (центрального контрагента)" лицевого счета продавца;</w:t>
      </w:r>
    </w:p>
    <w:bookmarkEnd w:id="242"/>
    <w:bookmarkStart w:name="z288" w:id="243"/>
    <w:p>
      <w:pPr>
        <w:spacing w:after="0"/>
        <w:ind w:left="0"/>
        <w:jc w:val="both"/>
      </w:pPr>
      <w:r>
        <w:rPr>
          <w:rFonts w:ascii="Times New Roman"/>
          <w:b w:val="false"/>
          <w:i w:val="false"/>
          <w:color w:val="000000"/>
          <w:sz w:val="28"/>
        </w:rPr>
        <w:t>
      2) зачисляются на раздел "раздел клиринговой организации (центрального контрагента)" лицевого счета покупателя.</w:t>
      </w:r>
    </w:p>
    <w:bookmarkEnd w:id="243"/>
    <w:bookmarkStart w:name="z289" w:id="244"/>
    <w:p>
      <w:pPr>
        <w:spacing w:after="0"/>
        <w:ind w:left="0"/>
        <w:jc w:val="both"/>
      </w:pPr>
      <w:r>
        <w:rPr>
          <w:rFonts w:ascii="Times New Roman"/>
          <w:b w:val="false"/>
          <w:i w:val="false"/>
          <w:color w:val="000000"/>
          <w:sz w:val="28"/>
        </w:rPr>
        <w:t>
      44-6. При проведении открытия "репо", заключенной методом, указанным в подпункте 1) пункта 44-2, ценные бумаги:</w:t>
      </w:r>
    </w:p>
    <w:bookmarkEnd w:id="244"/>
    <w:bookmarkStart w:name="z290" w:id="245"/>
    <w:p>
      <w:pPr>
        <w:spacing w:after="0"/>
        <w:ind w:left="0"/>
        <w:jc w:val="both"/>
      </w:pPr>
      <w:r>
        <w:rPr>
          <w:rFonts w:ascii="Times New Roman"/>
          <w:b w:val="false"/>
          <w:i w:val="false"/>
          <w:color w:val="000000"/>
          <w:sz w:val="28"/>
        </w:rPr>
        <w:t>
      1) списываются с раздела "основной" лицевого счета продавца;</w:t>
      </w:r>
    </w:p>
    <w:bookmarkEnd w:id="245"/>
    <w:bookmarkStart w:name="z291" w:id="246"/>
    <w:p>
      <w:pPr>
        <w:spacing w:after="0"/>
        <w:ind w:left="0"/>
        <w:jc w:val="both"/>
      </w:pPr>
      <w:r>
        <w:rPr>
          <w:rFonts w:ascii="Times New Roman"/>
          <w:b w:val="false"/>
          <w:i w:val="false"/>
          <w:color w:val="000000"/>
          <w:sz w:val="28"/>
        </w:rPr>
        <w:t>
      2) зачисляются на раздел "основной" лицевого счета покупателя.";</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93" w:id="247"/>
    <w:p>
      <w:pPr>
        <w:spacing w:after="0"/>
        <w:ind w:left="0"/>
        <w:jc w:val="both"/>
      </w:pPr>
      <w:r>
        <w:rPr>
          <w:rFonts w:ascii="Times New Roman"/>
          <w:b w:val="false"/>
          <w:i w:val="false"/>
          <w:color w:val="000000"/>
          <w:sz w:val="28"/>
        </w:rPr>
        <w:t xml:space="preserve">
      "49. Выписка с лицевого счета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содержит следующие сведения:</w:t>
      </w:r>
    </w:p>
    <w:bookmarkEnd w:id="247"/>
    <w:bookmarkStart w:name="z294" w:id="248"/>
    <w:p>
      <w:pPr>
        <w:spacing w:after="0"/>
        <w:ind w:left="0"/>
        <w:jc w:val="both"/>
      </w:pPr>
      <w:r>
        <w:rPr>
          <w:rFonts w:ascii="Times New Roman"/>
          <w:b w:val="false"/>
          <w:i w:val="false"/>
          <w:color w:val="000000"/>
          <w:sz w:val="28"/>
        </w:rPr>
        <w:t>
      1) номер лицевого счета;</w:t>
      </w:r>
    </w:p>
    <w:bookmarkEnd w:id="248"/>
    <w:bookmarkStart w:name="z295" w:id="249"/>
    <w:p>
      <w:pPr>
        <w:spacing w:after="0"/>
        <w:ind w:left="0"/>
        <w:jc w:val="both"/>
      </w:pPr>
      <w:r>
        <w:rPr>
          <w:rFonts w:ascii="Times New Roman"/>
          <w:b w:val="false"/>
          <w:i w:val="false"/>
          <w:color w:val="000000"/>
          <w:sz w:val="28"/>
        </w:rPr>
        <w:t>
      2) наименование юридического лица (фамилию, имя, отчество (при его наличии) физического лица) держателя ценных бумаг;</w:t>
      </w:r>
    </w:p>
    <w:bookmarkEnd w:id="249"/>
    <w:bookmarkStart w:name="z296" w:id="250"/>
    <w:p>
      <w:pPr>
        <w:spacing w:after="0"/>
        <w:ind w:left="0"/>
        <w:jc w:val="both"/>
      </w:pPr>
      <w:r>
        <w:rPr>
          <w:rFonts w:ascii="Times New Roman"/>
          <w:b w:val="false"/>
          <w:i w:val="false"/>
          <w:color w:val="000000"/>
          <w:sz w:val="28"/>
        </w:rPr>
        <w:t>
      3) номер и дату государственной регистрации (перерегистрации) юридического лица (наименование и реквизиты документа, удостоверяющего личность физического лица);</w:t>
      </w:r>
    </w:p>
    <w:bookmarkEnd w:id="250"/>
    <w:bookmarkStart w:name="z297" w:id="251"/>
    <w:p>
      <w:pPr>
        <w:spacing w:after="0"/>
        <w:ind w:left="0"/>
        <w:jc w:val="both"/>
      </w:pPr>
      <w:r>
        <w:rPr>
          <w:rFonts w:ascii="Times New Roman"/>
          <w:b w:val="false"/>
          <w:i w:val="false"/>
          <w:color w:val="000000"/>
          <w:sz w:val="28"/>
        </w:rPr>
        <w:t>
      4) наименование эмитента и его место нахождения либо наименование паевого инвестиционного фонда, а также управляющей компании данного фонда и ее место нахождения;</w:t>
      </w:r>
    </w:p>
    <w:bookmarkEnd w:id="251"/>
    <w:bookmarkStart w:name="z298" w:id="252"/>
    <w:p>
      <w:pPr>
        <w:spacing w:after="0"/>
        <w:ind w:left="0"/>
        <w:jc w:val="both"/>
      </w:pPr>
      <w:r>
        <w:rPr>
          <w:rFonts w:ascii="Times New Roman"/>
          <w:b w:val="false"/>
          <w:i w:val="false"/>
          <w:color w:val="000000"/>
          <w:sz w:val="28"/>
        </w:rPr>
        <w:t>
      5) виды и идентификационные номера ценных бумаг или иные идентификаторы финансовых инструментов;</w:t>
      </w:r>
    </w:p>
    <w:bookmarkEnd w:id="252"/>
    <w:bookmarkStart w:name="z299" w:id="253"/>
    <w:p>
      <w:pPr>
        <w:spacing w:after="0"/>
        <w:ind w:left="0"/>
        <w:jc w:val="both"/>
      </w:pPr>
      <w:r>
        <w:rPr>
          <w:rFonts w:ascii="Times New Roman"/>
          <w:b w:val="false"/>
          <w:i w:val="false"/>
          <w:color w:val="000000"/>
          <w:sz w:val="28"/>
        </w:rPr>
        <w:t>
      6) дата погашения облигаций (исламских ценных бумаг);</w:t>
      </w:r>
    </w:p>
    <w:bookmarkEnd w:id="253"/>
    <w:bookmarkStart w:name="z300" w:id="254"/>
    <w:p>
      <w:pPr>
        <w:spacing w:after="0"/>
        <w:ind w:left="0"/>
        <w:jc w:val="both"/>
      </w:pPr>
      <w:r>
        <w:rPr>
          <w:rFonts w:ascii="Times New Roman"/>
          <w:b w:val="false"/>
          <w:i w:val="false"/>
          <w:color w:val="000000"/>
          <w:sz w:val="28"/>
        </w:rPr>
        <w:t>
      7) общее количество ценных бумаг (сведения о правах требования по обязательствам эмитента по эмиссионным ценным бумагам) определенного вида с указанием количества обремененных и (или) блокированных и (или) учитываемых в разделе "репо", зарегистрированных на лицевом счете по состоянию на дату и время составления выписки;</w:t>
      </w:r>
    </w:p>
    <w:bookmarkEnd w:id="254"/>
    <w:bookmarkStart w:name="z301" w:id="255"/>
    <w:p>
      <w:pPr>
        <w:spacing w:after="0"/>
        <w:ind w:left="0"/>
        <w:jc w:val="both"/>
      </w:pPr>
      <w:r>
        <w:rPr>
          <w:rFonts w:ascii="Times New Roman"/>
          <w:b w:val="false"/>
          <w:i w:val="false"/>
          <w:color w:val="000000"/>
          <w:sz w:val="28"/>
        </w:rPr>
        <w:t>
      8) наименование номинального держателя, номер лицензии на осуществление профессиональной деятельности на рынке ценных бумаг, его юридический адрес, номер телефона, номер факса;</w:t>
      </w:r>
    </w:p>
    <w:bookmarkEnd w:id="255"/>
    <w:bookmarkStart w:name="z302" w:id="256"/>
    <w:p>
      <w:pPr>
        <w:spacing w:after="0"/>
        <w:ind w:left="0"/>
        <w:jc w:val="both"/>
      </w:pPr>
      <w:r>
        <w:rPr>
          <w:rFonts w:ascii="Times New Roman"/>
          <w:b w:val="false"/>
          <w:i w:val="false"/>
          <w:color w:val="000000"/>
          <w:sz w:val="28"/>
        </w:rPr>
        <w:t>
      9) время и дата, по состоянию на которые сформирована выписка с лицевого счета;</w:t>
      </w:r>
    </w:p>
    <w:bookmarkEnd w:id="256"/>
    <w:bookmarkStart w:name="z303" w:id="257"/>
    <w:p>
      <w:pPr>
        <w:spacing w:after="0"/>
        <w:ind w:left="0"/>
        <w:jc w:val="both"/>
      </w:pPr>
      <w:r>
        <w:rPr>
          <w:rFonts w:ascii="Times New Roman"/>
          <w:b w:val="false"/>
          <w:i w:val="false"/>
          <w:color w:val="000000"/>
          <w:sz w:val="28"/>
        </w:rPr>
        <w:t>
      10) иные сведения, предусмотренные внутренним документом номинального держателя.</w:t>
      </w:r>
    </w:p>
    <w:bookmarkEnd w:id="257"/>
    <w:bookmarkStart w:name="z304" w:id="258"/>
    <w:p>
      <w:pPr>
        <w:spacing w:after="0"/>
        <w:ind w:left="0"/>
        <w:jc w:val="both"/>
      </w:pPr>
      <w:r>
        <w:rPr>
          <w:rFonts w:ascii="Times New Roman"/>
          <w:b w:val="false"/>
          <w:i w:val="false"/>
          <w:color w:val="000000"/>
          <w:sz w:val="28"/>
        </w:rPr>
        <w:t>
      Выписка с лицевого счета, предоставляемая центральным депозитарием, составляется по форме, установленной внутренним документом центрального депозитария.</w:t>
      </w:r>
    </w:p>
    <w:bookmarkEnd w:id="258"/>
    <w:bookmarkStart w:name="z305" w:id="259"/>
    <w:p>
      <w:pPr>
        <w:spacing w:after="0"/>
        <w:ind w:left="0"/>
        <w:jc w:val="both"/>
      </w:pPr>
      <w:r>
        <w:rPr>
          <w:rFonts w:ascii="Times New Roman"/>
          <w:b w:val="false"/>
          <w:i w:val="false"/>
          <w:color w:val="000000"/>
          <w:sz w:val="28"/>
        </w:rPr>
        <w:t>
      Выписка с лицевого счета подписывается руководителем структурного подразделения номинального держателя, осуществляющего информационные операции в соответствии с внутренним документом номинального держателя, либо лицом, его замещающим.</w:t>
      </w:r>
    </w:p>
    <w:bookmarkEnd w:id="259"/>
    <w:bookmarkStart w:name="z306" w:id="260"/>
    <w:p>
      <w:pPr>
        <w:spacing w:after="0"/>
        <w:ind w:left="0"/>
        <w:jc w:val="both"/>
      </w:pPr>
      <w:r>
        <w:rPr>
          <w:rFonts w:ascii="Times New Roman"/>
          <w:b w:val="false"/>
          <w:i w:val="false"/>
          <w:color w:val="000000"/>
          <w:sz w:val="28"/>
        </w:rPr>
        <w:t>
      Допускается составление и предоставление выписки с лицевого счета в форме электронного документа или в формате SWIFT в соответствии с внутренними документами номинального держателя.</w:t>
      </w:r>
    </w:p>
    <w:bookmarkEnd w:id="260"/>
    <w:bookmarkStart w:name="z307" w:id="261"/>
    <w:p>
      <w:pPr>
        <w:spacing w:after="0"/>
        <w:ind w:left="0"/>
        <w:jc w:val="both"/>
      </w:pPr>
      <w:r>
        <w:rPr>
          <w:rFonts w:ascii="Times New Roman"/>
          <w:b w:val="false"/>
          <w:i w:val="false"/>
          <w:color w:val="000000"/>
          <w:sz w:val="28"/>
        </w:rPr>
        <w:t>
      По согласованию с клиентом номинальный держатель не предоставляет выписку на конец отчетного периода при отсутствии финансовых инструментов в портфеле клиента.".</w:t>
      </w:r>
    </w:p>
    <w:bookmarkEnd w:id="261"/>
    <w:bookmarkStart w:name="z308" w:id="262"/>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254 "Об утверждении Правил осуществления клиринговой деятельности по сделкам с финансовыми инструментами" (зарегистрировано в Реестре государственной регистрации нормативных правовых актов под № 17822, опубликовано 11 декабря 2018 года в Эталонном контрольном банке нормативных правовых актов Республики Казахстан) следующие изменения:</w:t>
      </w:r>
    </w:p>
    <w:bookmarkEnd w:id="262"/>
    <w:bookmarkStart w:name="z309"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клиринговой деятельности по сделкам с финансовыми инструментами, утвержденных указанным постановлением:</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3 изложить в следующей редакции:</w:t>
      </w:r>
    </w:p>
    <w:bookmarkStart w:name="z311" w:id="264"/>
    <w:p>
      <w:pPr>
        <w:spacing w:after="0"/>
        <w:ind w:left="0"/>
        <w:jc w:val="both"/>
      </w:pPr>
      <w:r>
        <w:rPr>
          <w:rFonts w:ascii="Times New Roman"/>
          <w:b w:val="false"/>
          <w:i w:val="false"/>
          <w:color w:val="000000"/>
          <w:sz w:val="28"/>
        </w:rPr>
        <w:t>
      "7) организация расчетов (платежей) по сделкам с финансовыми инструментами (при наличии у клиринговой организации лицензии на переводные операции);";</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3" w:id="265"/>
    <w:p>
      <w:pPr>
        <w:spacing w:after="0"/>
        <w:ind w:left="0"/>
        <w:jc w:val="both"/>
      </w:pPr>
      <w:r>
        <w:rPr>
          <w:rFonts w:ascii="Times New Roman"/>
          <w:b w:val="false"/>
          <w:i w:val="false"/>
          <w:color w:val="000000"/>
          <w:sz w:val="28"/>
        </w:rPr>
        <w:t>
      "4. Клиринговая организация, совмещающая деятельность по организации торговли с ценными бумагами и иными финансовыми инструментами с клиринговой деятельностью или депозитарную деятельность с клиринговой деятельностью, обеспечивает наличие:</w:t>
      </w:r>
    </w:p>
    <w:bookmarkEnd w:id="265"/>
    <w:bookmarkStart w:name="z314" w:id="266"/>
    <w:p>
      <w:pPr>
        <w:spacing w:after="0"/>
        <w:ind w:left="0"/>
        <w:jc w:val="both"/>
      </w:pPr>
      <w:r>
        <w:rPr>
          <w:rFonts w:ascii="Times New Roman"/>
          <w:b w:val="false"/>
          <w:i w:val="false"/>
          <w:color w:val="000000"/>
          <w:sz w:val="28"/>
        </w:rPr>
        <w:t>
      1) в организационной структуре отдельного (отдельных) подразделения (подразделений) для осуществления функций в рамках клиринговой деятельности по сделкам с финансовыми инструментами;</w:t>
      </w:r>
    </w:p>
    <w:bookmarkEnd w:id="266"/>
    <w:bookmarkStart w:name="z315" w:id="267"/>
    <w:p>
      <w:pPr>
        <w:spacing w:after="0"/>
        <w:ind w:left="0"/>
        <w:jc w:val="both"/>
      </w:pPr>
      <w:r>
        <w:rPr>
          <w:rFonts w:ascii="Times New Roman"/>
          <w:b w:val="false"/>
          <w:i w:val="false"/>
          <w:color w:val="000000"/>
          <w:sz w:val="28"/>
        </w:rPr>
        <w:t>
      2) у подразделения (подразделений), осуществляющего (осуществляющих) клиринговую деятельность по сделкам с финансовыми инструментами, отдельных помещений, а также систем сбора, регистрации и учета информации для осуществления клиринговой деятельности по сделкам с финансовыми инструментами.</w:t>
      </w:r>
    </w:p>
    <w:bookmarkEnd w:id="267"/>
    <w:bookmarkStart w:name="z316" w:id="268"/>
    <w:p>
      <w:pPr>
        <w:spacing w:after="0"/>
        <w:ind w:left="0"/>
        <w:jc w:val="both"/>
      </w:pPr>
      <w:r>
        <w:rPr>
          <w:rFonts w:ascii="Times New Roman"/>
          <w:b w:val="false"/>
          <w:i w:val="false"/>
          <w:color w:val="000000"/>
          <w:sz w:val="28"/>
        </w:rPr>
        <w:t xml:space="preserve">
      На подразделение (подразделения), осуществляющее (осуществляющие) клиринговую деятельность по сделкам с финансовыми инструментами, и работников данного подразделения (данных подразделений) не возлагаются функции подразделений фондовой биржи или центрального депозитария, осуществляющих другие виды профессиональной деятельности на рынке ценных бумаг, а также функция, указанная в </w:t>
      </w:r>
      <w:r>
        <w:rPr>
          <w:rFonts w:ascii="Times New Roman"/>
          <w:b w:val="false"/>
          <w:i w:val="false"/>
          <w:color w:val="000000"/>
          <w:sz w:val="28"/>
        </w:rPr>
        <w:t>подпункте 2)</w:t>
      </w:r>
      <w:r>
        <w:rPr>
          <w:rFonts w:ascii="Times New Roman"/>
          <w:b w:val="false"/>
          <w:i w:val="false"/>
          <w:color w:val="000000"/>
          <w:sz w:val="28"/>
        </w:rPr>
        <w:t xml:space="preserve"> пункта 3 Правил.";</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18" w:id="269"/>
    <w:p>
      <w:pPr>
        <w:spacing w:after="0"/>
        <w:ind w:left="0"/>
        <w:jc w:val="both"/>
      </w:pPr>
      <w:r>
        <w:rPr>
          <w:rFonts w:ascii="Times New Roman"/>
          <w:b w:val="false"/>
          <w:i w:val="false"/>
          <w:color w:val="000000"/>
          <w:sz w:val="28"/>
        </w:rPr>
        <w:t>
      "21. В целях осуществления клиринга по сделкам клиринговых участников, заключенных в торговой системе организатора торгов и (или) на товарной бирже, клиринговая организация обеспечивает достоверный учет параметров таких сделок.";</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21" w:id="270"/>
    <w:p>
      <w:pPr>
        <w:spacing w:after="0"/>
        <w:ind w:left="0"/>
        <w:jc w:val="both"/>
      </w:pPr>
      <w:r>
        <w:rPr>
          <w:rFonts w:ascii="Times New Roman"/>
          <w:b w:val="false"/>
          <w:i w:val="false"/>
          <w:color w:val="000000"/>
          <w:sz w:val="28"/>
        </w:rPr>
        <w:t>
      "24. Порядок и условия осуществления расчетов по сделкам с финансовыми инструментами, по которым осуществляется клиринговая деятельность, определяются правилами клиринговой организации.</w:t>
      </w:r>
    </w:p>
    <w:bookmarkEnd w:id="270"/>
    <w:bookmarkStart w:name="z322" w:id="271"/>
    <w:p>
      <w:pPr>
        <w:spacing w:after="0"/>
        <w:ind w:left="0"/>
        <w:jc w:val="both"/>
      </w:pPr>
      <w:r>
        <w:rPr>
          <w:rFonts w:ascii="Times New Roman"/>
          <w:b w:val="false"/>
          <w:i w:val="false"/>
          <w:color w:val="000000"/>
          <w:sz w:val="28"/>
        </w:rPr>
        <w:t>
      Клиринговая организация для организации расчетов (платежей) по сделкам с производными финансовыми инструментами и (или) валютой открывает счета для учета финансовых инструментов в соответствии с требованиями внутренних документов клиринговой организации.</w:t>
      </w:r>
    </w:p>
    <w:bookmarkEnd w:id="271"/>
    <w:bookmarkStart w:name="z323" w:id="272"/>
    <w:p>
      <w:pPr>
        <w:spacing w:after="0"/>
        <w:ind w:left="0"/>
        <w:jc w:val="both"/>
      </w:pPr>
      <w:r>
        <w:rPr>
          <w:rFonts w:ascii="Times New Roman"/>
          <w:b w:val="false"/>
          <w:i w:val="false"/>
          <w:color w:val="000000"/>
          <w:sz w:val="28"/>
        </w:rPr>
        <w:t>
      Клиринговая организация, в целях совершения действий при урегулировании дефолта по сделке финансовыми инструментами, открывает счета для учета этих финансовых инструментов в расчетных организациях, в том числе в центральном депозитарии.".</w:t>
      </w:r>
    </w:p>
    <w:bookmarkEnd w:id="272"/>
    <w:bookmarkStart w:name="z324" w:id="273"/>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опубликовано 20 декабря 2018 года в Эталонном контрольном банке нормативных правовых актов Республики Казахстан) следующие изменения:</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26" w:id="274"/>
    <w:p>
      <w:pPr>
        <w:spacing w:after="0"/>
        <w:ind w:left="0"/>
        <w:jc w:val="both"/>
      </w:pPr>
      <w:r>
        <w:rPr>
          <w:rFonts w:ascii="Times New Roman"/>
          <w:b w:val="false"/>
          <w:i w:val="false"/>
          <w:color w:val="000000"/>
          <w:sz w:val="28"/>
        </w:rPr>
        <w:t>
      "16. В системе учета номинального держания центральный депозитарий открывает лицевые счета следующим юридическим лицам:</w:t>
      </w:r>
    </w:p>
    <w:bookmarkEnd w:id="274"/>
    <w:bookmarkStart w:name="z327" w:id="275"/>
    <w:p>
      <w:pPr>
        <w:spacing w:after="0"/>
        <w:ind w:left="0"/>
        <w:jc w:val="both"/>
      </w:pPr>
      <w:r>
        <w:rPr>
          <w:rFonts w:ascii="Times New Roman"/>
          <w:b w:val="false"/>
          <w:i w:val="false"/>
          <w:color w:val="000000"/>
          <w:sz w:val="28"/>
        </w:rPr>
        <w:t>
      1) обладающим лицензией уполномоченного органа на осуществление кастодиальной деятельности на рынке ценных бумаг;</w:t>
      </w:r>
    </w:p>
    <w:bookmarkEnd w:id="275"/>
    <w:bookmarkStart w:name="z328" w:id="276"/>
    <w:p>
      <w:pPr>
        <w:spacing w:after="0"/>
        <w:ind w:left="0"/>
        <w:jc w:val="both"/>
      </w:pPr>
      <w:r>
        <w:rPr>
          <w:rFonts w:ascii="Times New Roman"/>
          <w:b w:val="false"/>
          <w:i w:val="false"/>
          <w:color w:val="000000"/>
          <w:sz w:val="28"/>
        </w:rPr>
        <w:t>
      2) обладающим лицензией уполномоченного органа на осуществление брокерской деятельности на рынке ценных бумаг;</w:t>
      </w:r>
    </w:p>
    <w:bookmarkEnd w:id="276"/>
    <w:bookmarkStart w:name="z329" w:id="277"/>
    <w:p>
      <w:pPr>
        <w:spacing w:after="0"/>
        <w:ind w:left="0"/>
        <w:jc w:val="both"/>
      </w:pPr>
      <w:r>
        <w:rPr>
          <w:rFonts w:ascii="Times New Roman"/>
          <w:b w:val="false"/>
          <w:i w:val="false"/>
          <w:color w:val="000000"/>
          <w:sz w:val="28"/>
        </w:rPr>
        <w:t>
      3) Национальному Банку Республики Казахстан;</w:t>
      </w:r>
    </w:p>
    <w:bookmarkEnd w:id="277"/>
    <w:bookmarkStart w:name="z330" w:id="278"/>
    <w:p>
      <w:pPr>
        <w:spacing w:after="0"/>
        <w:ind w:left="0"/>
        <w:jc w:val="both"/>
      </w:pPr>
      <w:r>
        <w:rPr>
          <w:rFonts w:ascii="Times New Roman"/>
          <w:b w:val="false"/>
          <w:i w:val="false"/>
          <w:color w:val="000000"/>
          <w:sz w:val="28"/>
        </w:rPr>
        <w:t>
      4) обладающим лицензией уполномоченного органа на осуществление дилерской деятельности на рынке ценных бумаг;</w:t>
      </w:r>
    </w:p>
    <w:bookmarkEnd w:id="278"/>
    <w:bookmarkStart w:name="z331" w:id="279"/>
    <w:p>
      <w:pPr>
        <w:spacing w:after="0"/>
        <w:ind w:left="0"/>
        <w:jc w:val="both"/>
      </w:pPr>
      <w:r>
        <w:rPr>
          <w:rFonts w:ascii="Times New Roman"/>
          <w:b w:val="false"/>
          <w:i w:val="false"/>
          <w:color w:val="000000"/>
          <w:sz w:val="28"/>
        </w:rPr>
        <w:t>
      5) осуществляющим дилерскую деятельность без лицензии в соответствии с законами Республики Казахстан;</w:t>
      </w:r>
    </w:p>
    <w:bookmarkEnd w:id="279"/>
    <w:bookmarkStart w:name="z332" w:id="280"/>
    <w:p>
      <w:pPr>
        <w:spacing w:after="0"/>
        <w:ind w:left="0"/>
        <w:jc w:val="both"/>
      </w:pPr>
      <w:r>
        <w:rPr>
          <w:rFonts w:ascii="Times New Roman"/>
          <w:b w:val="false"/>
          <w:i w:val="false"/>
          <w:color w:val="000000"/>
          <w:sz w:val="28"/>
        </w:rPr>
        <w:t>
      6) иностранным депозитариям и кастодианам;</w:t>
      </w:r>
    </w:p>
    <w:bookmarkEnd w:id="280"/>
    <w:bookmarkStart w:name="z333" w:id="281"/>
    <w:p>
      <w:pPr>
        <w:spacing w:after="0"/>
        <w:ind w:left="0"/>
        <w:jc w:val="both"/>
      </w:pPr>
      <w:r>
        <w:rPr>
          <w:rFonts w:ascii="Times New Roman"/>
          <w:b w:val="false"/>
          <w:i w:val="false"/>
          <w:color w:val="000000"/>
          <w:sz w:val="28"/>
        </w:rPr>
        <w:t>
      7) иностранным расчетным организациям;</w:t>
      </w:r>
    </w:p>
    <w:bookmarkEnd w:id="281"/>
    <w:bookmarkStart w:name="z334" w:id="282"/>
    <w:p>
      <w:pPr>
        <w:spacing w:after="0"/>
        <w:ind w:left="0"/>
        <w:jc w:val="both"/>
      </w:pPr>
      <w:r>
        <w:rPr>
          <w:rFonts w:ascii="Times New Roman"/>
          <w:b w:val="false"/>
          <w:i w:val="false"/>
          <w:color w:val="000000"/>
          <w:sz w:val="28"/>
        </w:rPr>
        <w:t>
      8) единому оператору в сфере учета государственного имущества, определенному в соответствии с законодательством Республики Казахстан о государственном имуществе;</w:t>
      </w:r>
    </w:p>
    <w:bookmarkEnd w:id="282"/>
    <w:bookmarkStart w:name="z335" w:id="283"/>
    <w:p>
      <w:pPr>
        <w:spacing w:after="0"/>
        <w:ind w:left="0"/>
        <w:jc w:val="both"/>
      </w:pPr>
      <w:r>
        <w:rPr>
          <w:rFonts w:ascii="Times New Roman"/>
          <w:b w:val="false"/>
          <w:i w:val="false"/>
          <w:color w:val="000000"/>
          <w:sz w:val="28"/>
        </w:rPr>
        <w:t>
      9) организации, осуществляющей регистрацию сделок с ценными бумагами на территории Международного финансового центра "Астана";</w:t>
      </w:r>
    </w:p>
    <w:bookmarkEnd w:id="283"/>
    <w:bookmarkStart w:name="z336" w:id="284"/>
    <w:p>
      <w:pPr>
        <w:spacing w:after="0"/>
        <w:ind w:left="0"/>
        <w:jc w:val="both"/>
      </w:pPr>
      <w:r>
        <w:rPr>
          <w:rFonts w:ascii="Times New Roman"/>
          <w:b w:val="false"/>
          <w:i w:val="false"/>
          <w:color w:val="000000"/>
          <w:sz w:val="28"/>
        </w:rPr>
        <w:t>
      10) клиринговым организациям.</w:t>
      </w:r>
    </w:p>
    <w:bookmarkEnd w:id="284"/>
    <w:bookmarkStart w:name="z337" w:id="285"/>
    <w:p>
      <w:pPr>
        <w:spacing w:after="0"/>
        <w:ind w:left="0"/>
        <w:jc w:val="both"/>
      </w:pPr>
      <w:r>
        <w:rPr>
          <w:rFonts w:ascii="Times New Roman"/>
          <w:b w:val="false"/>
          <w:i w:val="false"/>
          <w:color w:val="000000"/>
          <w:sz w:val="28"/>
        </w:rPr>
        <w:t>
      В системе учета номинального держания центральный депозитарий вышеуказанным юридическим лицам открывает только один лицевой счет номинального держателя.</w:t>
      </w:r>
    </w:p>
    <w:bookmarkEnd w:id="285"/>
    <w:bookmarkStart w:name="z338" w:id="286"/>
    <w:p>
      <w:pPr>
        <w:spacing w:after="0"/>
        <w:ind w:left="0"/>
        <w:jc w:val="both"/>
      </w:pPr>
      <w:r>
        <w:rPr>
          <w:rFonts w:ascii="Times New Roman"/>
          <w:b w:val="false"/>
          <w:i w:val="false"/>
          <w:color w:val="000000"/>
          <w:sz w:val="28"/>
        </w:rPr>
        <w:t xml:space="preserve">
      Открытие лицевого счета номинального держателя производится после принятия центральным депозитарием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bookmarkEnd w:id="286"/>
    <w:bookmarkStart w:name="z339" w:id="287"/>
    <w:p>
      <w:pPr>
        <w:spacing w:after="0"/>
        <w:ind w:left="0"/>
        <w:jc w:val="both"/>
      </w:pPr>
      <w:r>
        <w:rPr>
          <w:rFonts w:ascii="Times New Roman"/>
          <w:b w:val="false"/>
          <w:i w:val="false"/>
          <w:color w:val="000000"/>
          <w:sz w:val="28"/>
        </w:rPr>
        <w:t>
      17. На лицевом счете юридического лица, указанного в подпунктах 4), 5) и 10) пункта 16 Правил, открывается только один субсчет, предназначенный для учета финансовых инструментов, принадлежащих данному юридическому лицу.".</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 рынка</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60</w:t>
            </w:r>
          </w:p>
        </w:tc>
      </w:tr>
    </w:tbl>
    <w:bookmarkStart w:name="z342" w:id="288"/>
    <w:p>
      <w:pPr>
        <w:spacing w:after="0"/>
        <w:ind w:left="0"/>
        <w:jc w:val="left"/>
      </w:pPr>
      <w:r>
        <w:rPr>
          <w:rFonts w:ascii="Times New Roman"/>
          <w:b/>
          <w:i w:val="false"/>
          <w:color w:val="000000"/>
        </w:rPr>
        <w:t xml:space="preserve"> Перечень финансовых инструментов, которые могут входить в состав активов акционерных и паевых инвестиционных фондов</w:t>
      </w:r>
    </w:p>
    <w:bookmarkEnd w:id="288"/>
    <w:bookmarkStart w:name="z343" w:id="289"/>
    <w:p>
      <w:pPr>
        <w:spacing w:after="0"/>
        <w:ind w:left="0"/>
        <w:jc w:val="both"/>
      </w:pPr>
      <w:r>
        <w:rPr>
          <w:rFonts w:ascii="Times New Roman"/>
          <w:b w:val="false"/>
          <w:i w:val="false"/>
          <w:color w:val="000000"/>
          <w:sz w:val="28"/>
        </w:rPr>
        <w:t>
      1. Перечень финансовых инструментов, в которые управляющая компания инвестирует находящиеся в инвестиционном управлении активы каждого отдельного открытого либо интервального паевого инвестиционного фонда, и требования, предъявляемые к ним:</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 и (или)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его дочерними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0"/>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банки имеют долгосрочный кредитный рейтинг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1"/>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или иностранных государств:</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акции эмитентов, имеющих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(или) акции, включенные в официальный список фондовой биржи, соответствующие требованиям секторов "акции" официального списка фондовой биржи и (или) акции эмитентов,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долговые ценные бумаги,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или долговые ценные бумаги, включенные в официальный список фондовой биржи, соответствующие требованиям секторов "долговые ценные бумаги" официального списка фондовой биржи и (или) долговые ценные бумаги,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инфраструктурные облигации организаций Республики Казахстан, включенные в официальный список фондовой биржи и (или) инфраструктурные облигации организаций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(за исключением паевых инвестиционных фондов, управляющей компанией которых является управляющая компания паевого инвестиционного фонда, за счет активов которого приобретаются данные паи), включенные в официальный список фондовой биржи и (или)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 </w:t>
            </w:r>
          </w:p>
          <w:p>
            <w:pPr>
              <w:spacing w:after="20"/>
              <w:ind w:left="20"/>
              <w:jc w:val="both"/>
            </w:pPr>
            <w:r>
              <w:rPr>
                <w:rFonts w:ascii="Times New Roman"/>
                <w:b w:val="false"/>
                <w:i w:val="false"/>
                <w:color w:val="000000"/>
                <w:sz w:val="20"/>
              </w:rPr>
              <w:t>
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 имеющих международную рейтинговую оценку Standard &amp; Poor's principal stability fund ratings не ниже "BBm-" либо Standard &amp; Poor’s Fund credit quality ratings не ниже "BBf-"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строках 5, 12, 13 настоящего пункта, либо базовым активом которых являются ценные бумаги эмитентов, имеющих рейтинговую оценку в иностранной валюте по международной шкале кредитного рейтинга не ниже "В-"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2"/>
          <w:p>
            <w:pPr>
              <w:spacing w:after="20"/>
              <w:ind w:left="20"/>
              <w:jc w:val="both"/>
            </w:pPr>
            <w:r>
              <w:rPr>
                <w:rFonts w:ascii="Times New Roman"/>
                <w:b w:val="false"/>
                <w:i w:val="false"/>
                <w:color w:val="000000"/>
                <w:sz w:val="20"/>
              </w:rPr>
              <w:t>
Ценные бумаги, выпущенные следующими международными финансовыми организациями:</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Азиатским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Африканским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Банком международных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Евразийским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Европейским инвестиционным банком;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Европейским банком реконструкции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Исламским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Межамериканским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3"/>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долговые ценные бумаги,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 (или) долговые ценные бумаги,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 (или) акции,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ценные бумаги, выпущенные иностранными организациями, признаваемыми резидентами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22-1 Закона Республики Казахстан от 2 июля 2003 года "О рынке ценных бумаг", включенные в официальный список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4"/>
          <w:p>
            <w:pPr>
              <w:spacing w:after="20"/>
              <w:ind w:left="20"/>
              <w:jc w:val="both"/>
            </w:pPr>
            <w:r>
              <w:rPr>
                <w:rFonts w:ascii="Times New Roman"/>
                <w:b w:val="false"/>
                <w:i w:val="false"/>
                <w:color w:val="000000"/>
                <w:sz w:val="20"/>
              </w:rPr>
              <w:t>
Principal protected notes, выпущенные организациями, имеющими рейтинговую оценку не ниже "А-" по международной шкале агентства Standard &amp; Poor’s или рейтинговую оценку аналогичного уровня одного из других рейтинговых агентств, которые соответствуют следующим условиям:</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срок обращения не превышает пяти лет;</w:t>
            </w:r>
          </w:p>
          <w:p>
            <w:pPr>
              <w:spacing w:after="20"/>
              <w:ind w:left="20"/>
              <w:jc w:val="both"/>
            </w:pPr>
            <w:r>
              <w:rPr>
                <w:rFonts w:ascii="Times New Roman"/>
                <w:b w:val="false"/>
                <w:i w:val="false"/>
                <w:color w:val="000000"/>
                <w:sz w:val="20"/>
              </w:rPr>
              <w:t>
условиями выпуска principal protected notes не предусмотрены случаи дефолта какого-либо государства, эмитента по своим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5"/>
          <w:p>
            <w:pPr>
              <w:spacing w:after="20"/>
              <w:ind w:left="20"/>
              <w:jc w:val="both"/>
            </w:pPr>
            <w:r>
              <w:rPr>
                <w:rFonts w:ascii="Times New Roman"/>
                <w:b w:val="false"/>
                <w:i w:val="false"/>
                <w:color w:val="000000"/>
                <w:sz w:val="20"/>
              </w:rPr>
              <w:t>
Производные финансовые инструменты (фьючерсы, опционы, свопы, форварды), заключенные в целях хеджирования, базовым активом которых являются финансовые инструменты, которые входят в состав активов открытого и интервального паевых инвестиционных фондов, иностранная валюта, а также следующие расчетные показатели (индексы):</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AIX (Astana International Exchange)</w:t>
            </w:r>
          </w:p>
          <w:p>
            <w:pPr>
              <w:spacing w:after="20"/>
              <w:ind w:left="20"/>
              <w:jc w:val="both"/>
            </w:pPr>
            <w:r>
              <w:rPr>
                <w:rFonts w:ascii="Times New Roman"/>
                <w:b w:val="false"/>
                <w:i w:val="false"/>
                <w:color w:val="000000"/>
                <w:sz w:val="20"/>
              </w:rPr>
              <w:t>
</w:t>
            </w:r>
            <w:r>
              <w:rPr>
                <w:rFonts w:ascii="Times New Roman"/>
                <w:b w:val="false"/>
                <w:i w:val="false"/>
                <w:color w:val="000000"/>
                <w:sz w:val="20"/>
              </w:rPr>
              <w:t>САС 40 (Compagnie des Agents de Change 40 Index)</w:t>
            </w:r>
          </w:p>
          <w:p>
            <w:pPr>
              <w:spacing w:after="20"/>
              <w:ind w:left="20"/>
              <w:jc w:val="both"/>
            </w:pPr>
            <w:r>
              <w:rPr>
                <w:rFonts w:ascii="Times New Roman"/>
                <w:b w:val="false"/>
                <w:i w:val="false"/>
                <w:color w:val="000000"/>
                <w:sz w:val="20"/>
              </w:rPr>
              <w:t>
</w:t>
            </w:r>
            <w:r>
              <w:rPr>
                <w:rFonts w:ascii="Times New Roman"/>
                <w:b w:val="false"/>
                <w:i w:val="false"/>
                <w:color w:val="000000"/>
                <w:sz w:val="20"/>
              </w:rPr>
              <w:t>DAX (Deutscher Aktienindex)</w:t>
            </w:r>
          </w:p>
          <w:p>
            <w:pPr>
              <w:spacing w:after="20"/>
              <w:ind w:left="20"/>
              <w:jc w:val="both"/>
            </w:pPr>
            <w:r>
              <w:rPr>
                <w:rFonts w:ascii="Times New Roman"/>
                <w:b w:val="false"/>
                <w:i w:val="false"/>
                <w:color w:val="000000"/>
                <w:sz w:val="20"/>
              </w:rPr>
              <w:t>
</w:t>
            </w:r>
            <w:r>
              <w:rPr>
                <w:rFonts w:ascii="Times New Roman"/>
                <w:b w:val="false"/>
                <w:i w:val="false"/>
                <w:color w:val="000000"/>
                <w:sz w:val="20"/>
              </w:rPr>
              <w:t>DJIA (Dow Jones Industrial Average)</w:t>
            </w:r>
          </w:p>
          <w:p>
            <w:pPr>
              <w:spacing w:after="20"/>
              <w:ind w:left="20"/>
              <w:jc w:val="both"/>
            </w:pPr>
            <w:r>
              <w:rPr>
                <w:rFonts w:ascii="Times New Roman"/>
                <w:b w:val="false"/>
                <w:i w:val="false"/>
                <w:color w:val="000000"/>
                <w:sz w:val="20"/>
              </w:rPr>
              <w:t>
</w:t>
            </w:r>
            <w:r>
              <w:rPr>
                <w:rFonts w:ascii="Times New Roman"/>
                <w:b w:val="false"/>
                <w:i w:val="false"/>
                <w:color w:val="000000"/>
                <w:sz w:val="20"/>
              </w:rPr>
              <w:t>EURO STOXX 50 (EURO STOXX 50 Price Index)</w:t>
            </w:r>
          </w:p>
          <w:p>
            <w:pPr>
              <w:spacing w:after="20"/>
              <w:ind w:left="20"/>
              <w:jc w:val="both"/>
            </w:pPr>
            <w:r>
              <w:rPr>
                <w:rFonts w:ascii="Times New Roman"/>
                <w:b w:val="false"/>
                <w:i w:val="false"/>
                <w:color w:val="000000"/>
                <w:sz w:val="20"/>
              </w:rPr>
              <w:t>
</w:t>
            </w:r>
            <w:r>
              <w:rPr>
                <w:rFonts w:ascii="Times New Roman"/>
                <w:b w:val="false"/>
                <w:i w:val="false"/>
                <w:color w:val="000000"/>
                <w:sz w:val="20"/>
              </w:rPr>
              <w:t>FTSE 100 (Financial Times Stock Exchange 100 Index)</w:t>
            </w:r>
          </w:p>
          <w:p>
            <w:pPr>
              <w:spacing w:after="20"/>
              <w:ind w:left="20"/>
              <w:jc w:val="both"/>
            </w:pPr>
            <w:r>
              <w:rPr>
                <w:rFonts w:ascii="Times New Roman"/>
                <w:b w:val="false"/>
                <w:i w:val="false"/>
                <w:color w:val="000000"/>
                <w:sz w:val="20"/>
              </w:rPr>
              <w:t>
</w:t>
            </w:r>
            <w:r>
              <w:rPr>
                <w:rFonts w:ascii="Times New Roman"/>
                <w:b w:val="false"/>
                <w:i w:val="false"/>
                <w:color w:val="000000"/>
                <w:sz w:val="20"/>
              </w:rPr>
              <w:t>HSI (Hang Seng Index)</w:t>
            </w:r>
          </w:p>
          <w:p>
            <w:pPr>
              <w:spacing w:after="20"/>
              <w:ind w:left="20"/>
              <w:jc w:val="both"/>
            </w:pPr>
            <w:r>
              <w:rPr>
                <w:rFonts w:ascii="Times New Roman"/>
                <w:b w:val="false"/>
                <w:i w:val="false"/>
                <w:color w:val="000000"/>
                <w:sz w:val="20"/>
              </w:rPr>
              <w:t>
</w:t>
            </w:r>
            <w:r>
              <w:rPr>
                <w:rFonts w:ascii="Times New Roman"/>
                <w:b w:val="false"/>
                <w:i w:val="false"/>
                <w:color w:val="000000"/>
                <w:sz w:val="20"/>
              </w:rPr>
              <w:t>KASE (Kazakhstan Stock Exchange Index)</w:t>
            </w:r>
          </w:p>
          <w:p>
            <w:pPr>
              <w:spacing w:after="20"/>
              <w:ind w:left="20"/>
              <w:jc w:val="both"/>
            </w:pPr>
            <w:r>
              <w:rPr>
                <w:rFonts w:ascii="Times New Roman"/>
                <w:b w:val="false"/>
                <w:i w:val="false"/>
                <w:color w:val="000000"/>
                <w:sz w:val="20"/>
              </w:rPr>
              <w:t>
</w:t>
            </w:r>
            <w:r>
              <w:rPr>
                <w:rFonts w:ascii="Times New Roman"/>
                <w:b w:val="false"/>
                <w:i w:val="false"/>
                <w:color w:val="000000"/>
                <w:sz w:val="20"/>
              </w:rPr>
              <w:t>MSCI World Index (Morgan Stanley Capital International World Index);</w:t>
            </w:r>
          </w:p>
          <w:p>
            <w:pPr>
              <w:spacing w:after="20"/>
              <w:ind w:left="20"/>
              <w:jc w:val="both"/>
            </w:pPr>
            <w:r>
              <w:rPr>
                <w:rFonts w:ascii="Times New Roman"/>
                <w:b w:val="false"/>
                <w:i w:val="false"/>
                <w:color w:val="000000"/>
                <w:sz w:val="20"/>
              </w:rPr>
              <w:t>
</w:t>
            </w:r>
            <w:r>
              <w:rPr>
                <w:rFonts w:ascii="Times New Roman"/>
                <w:b w:val="false"/>
                <w:i w:val="false"/>
                <w:color w:val="000000"/>
                <w:sz w:val="20"/>
              </w:rPr>
              <w:t>MOEX Russia (Moscow Exchange Russia Index)</w:t>
            </w:r>
          </w:p>
          <w:p>
            <w:pPr>
              <w:spacing w:after="20"/>
              <w:ind w:left="20"/>
              <w:jc w:val="both"/>
            </w:pPr>
            <w:r>
              <w:rPr>
                <w:rFonts w:ascii="Times New Roman"/>
                <w:b w:val="false"/>
                <w:i w:val="false"/>
                <w:color w:val="000000"/>
                <w:sz w:val="20"/>
              </w:rPr>
              <w:t>
</w:t>
            </w:r>
            <w:r>
              <w:rPr>
                <w:rFonts w:ascii="Times New Roman"/>
                <w:b w:val="false"/>
                <w:i w:val="false"/>
                <w:color w:val="000000"/>
                <w:sz w:val="20"/>
              </w:rPr>
              <w:t>NIKKEI 225 (Nikkei-225 Stock Average Index )</w:t>
            </w:r>
          </w:p>
          <w:p>
            <w:pPr>
              <w:spacing w:after="20"/>
              <w:ind w:left="20"/>
              <w:jc w:val="both"/>
            </w:pPr>
            <w:r>
              <w:rPr>
                <w:rFonts w:ascii="Times New Roman"/>
                <w:b w:val="false"/>
                <w:i w:val="false"/>
                <w:color w:val="000000"/>
                <w:sz w:val="20"/>
              </w:rPr>
              <w:t>
</w:t>
            </w:r>
            <w:r>
              <w:rPr>
                <w:rFonts w:ascii="Times New Roman"/>
                <w:b w:val="false"/>
                <w:i w:val="false"/>
                <w:color w:val="000000"/>
                <w:sz w:val="20"/>
              </w:rPr>
              <w:t>RTSI (Russian Trade System Index)</w:t>
            </w:r>
          </w:p>
          <w:p>
            <w:pPr>
              <w:spacing w:after="20"/>
              <w:ind w:left="20"/>
              <w:jc w:val="both"/>
            </w:pPr>
            <w:r>
              <w:rPr>
                <w:rFonts w:ascii="Times New Roman"/>
                <w:b w:val="false"/>
                <w:i w:val="false"/>
                <w:color w:val="000000"/>
                <w:sz w:val="20"/>
              </w:rPr>
              <w:t>
</w:t>
            </w:r>
            <w:r>
              <w:rPr>
                <w:rFonts w:ascii="Times New Roman"/>
                <w:b w:val="false"/>
                <w:i w:val="false"/>
                <w:color w:val="000000"/>
                <w:sz w:val="20"/>
              </w:rPr>
              <w:t>S&amp;P 500 (Standard and Poor's 500 Index)</w:t>
            </w:r>
          </w:p>
          <w:p>
            <w:pPr>
              <w:spacing w:after="20"/>
              <w:ind w:left="20"/>
              <w:jc w:val="both"/>
            </w:pPr>
            <w:r>
              <w:rPr>
                <w:rFonts w:ascii="Times New Roman"/>
                <w:b w:val="false"/>
                <w:i w:val="false"/>
                <w:color w:val="000000"/>
                <w:sz w:val="20"/>
              </w:rPr>
              <w:t>
</w:t>
            </w:r>
            <w:r>
              <w:rPr>
                <w:rFonts w:ascii="Times New Roman"/>
                <w:b w:val="false"/>
                <w:i w:val="false"/>
                <w:color w:val="000000"/>
                <w:sz w:val="20"/>
              </w:rPr>
              <w:t>TOPIX 100 (Tokyo Stock Price 100 Index)</w:t>
            </w:r>
          </w:p>
          <w:p>
            <w:pPr>
              <w:spacing w:after="20"/>
              <w:ind w:left="20"/>
              <w:jc w:val="both"/>
            </w:pPr>
            <w:r>
              <w:rPr>
                <w:rFonts w:ascii="Times New Roman"/>
                <w:b w:val="false"/>
                <w:i w:val="false"/>
                <w:color w:val="000000"/>
                <w:sz w:val="20"/>
              </w:rPr>
              <w:t>
NASDAQ-100 (Nasdaq-100 Index)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товариществе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 торгующиеся на фондовых биржах, функционирующих на территории иностранных государств, имеющих суверенную рейтинговую оценку не ниже "ВВ" по международной шкале агентства Standard &amp; Poor’s или суверенную рейтинговую оценку аналогичного уровня одного из других рейтинговых агентств</w:t>
            </w:r>
          </w:p>
        </w:tc>
      </w:tr>
    </w:tbl>
    <w:bookmarkStart w:name="z380" w:id="296"/>
    <w:p>
      <w:pPr>
        <w:spacing w:after="0"/>
        <w:ind w:left="0"/>
        <w:jc w:val="both"/>
      </w:pPr>
      <w:r>
        <w:rPr>
          <w:rFonts w:ascii="Times New Roman"/>
          <w:b w:val="false"/>
          <w:i w:val="false"/>
          <w:color w:val="000000"/>
          <w:sz w:val="28"/>
        </w:rPr>
        <w:t>
      2. Перечень финансовых инструментов, в которые управляющая компания инвестирует находящиеся в инвестиционном управлении активы каждого отдельного фонда недвижимости, и требования, предъявляемые к ним:</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7"/>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банки имеют долгосрочный кредитный рейтинг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при условии их нахождения на дату заключения сделки в представительском списке индекса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Республики Казахстан в соответствии с законодательством Республики Казахстан или иностранных государств,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"kzA-" по национальной шкале Standard &amp; Poor’s, или рейтинг аналогичного уровня по национальной шкале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иностранными организациями, имеющие рейтинговую оценку не ниже "АА-"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"АА-"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98"/>
          <w:p>
            <w:pPr>
              <w:spacing w:after="20"/>
              <w:ind w:left="20"/>
              <w:jc w:val="both"/>
            </w:pPr>
            <w:r>
              <w:rPr>
                <w:rFonts w:ascii="Times New Roman"/>
                <w:b w:val="false"/>
                <w:i w:val="false"/>
                <w:color w:val="000000"/>
                <w:sz w:val="20"/>
              </w:rPr>
              <w:t>
Долговые ценные бумаги, выпущенные следующими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Азиатским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Африканским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Банком международных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Евразийским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Европейским инвестиционным банком;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Европейским банком реконструкции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Исламским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Межамериканским банком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выпущенный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заключенные в целях хеджирования, базовым активом которых являются финансовые инструменты, разрешенные к приобретению за счет активов фондов недвижимости в соответствии с настоящим Перечнем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юридическом лице, осуществляющем обслуживание имущества, входящего в состав фонда недвижимости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