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3205" w14:textId="2753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сентября 2019 года № 80. Зарегистрирован в Министерстве юстиции Республики Казахстан 17 сентября 2019 года № 19384.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10068, опубликован 30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трансфертов общего характера,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области (города республиканского значения, столицы).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каждой области (городу республиканского значения, столице) производится по следующей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k *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капитального характера i-й области (города республиканского значения, столицы);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i-й области (города республиканского значения, столицы);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объемов трансфертов общего характера между республиканским бюджетом и бюджетами областей, городов республиканского значения, столицы величина k равняется 6,5%.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прогнозный объем средств,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области (города республиканского значения, столицы), с учетом уровня экономической активности региона (реальный рост валового регионального продукта).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каждой области (городу республиканского значения, столице) производится по следующей формуле: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*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+ (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* ПОД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+ ((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*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+ (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 ПОД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))*K,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по бюджетным программам развития i-й области (города республиканского значения, столицы);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i-й области (города республиканского значения, столицы);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прогнозные объемы доходов i-й области (города республиканского значения, столицы);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стимулирующий коэффициент, применяемый для регионов, которым установлены бюджетные субвенции и определяемый как среднеарифметическое реального роста валового регионального продукта за предыдущие три года, предшествующие году разработки законопроекта, устанавливающего объемы трансфертов общего характера на среднесрочный период.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значения среднего за три года роста валового регионального продукта в трехлетнем периоде значение коэффициента К приравнивается к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процентного отношения затрат по бюджетным программам развития к общему объему текущих затрат.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процентного отношения затрат по бюджетным программам развития к прогнозному объему доходов местных бюджетов.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Величина коэффициентов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объемов трансфертов общего характера между республиканским бюджетом и бюджетами областей, городов республиканского значения, столицы) – решением Республиканской бюджетной комиссии.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отдельно для регионов, которым установлены бюджетные изъятия и для регионов которым установлены бюджетные субвенции.";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расчетов трансфертов общего характера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в установленном законодательством порядке обеспечить: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национальной экономики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Оборона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мужского пола призывного возраста от 18 до 26 лет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учащихся в малокомплектных школах;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возрастной структуры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структуры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урбанизации;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количество койко-суток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объем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(миллион кубических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численность государственной лесной охраны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надбавок за работу в сельской местности;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в атмосферу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(тысяча квадратных 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