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738c" w14:textId="52d7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мониторинга реализации архитектуры "электронного правительства</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12 августа 2019 года № 193/НҚ. Зарегистрирован в Министерстве юстиции Республики Казахстан 15 августа 2019 года № 19249.</w:t>
      </w:r>
    </w:p>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28.11.2022 </w:t>
      </w:r>
      <w:r>
        <w:rPr>
          <w:rFonts w:ascii="Times New Roman"/>
          <w:b w:val="false"/>
          <w:i w:val="false"/>
          <w:color w:val="ff0000"/>
          <w:sz w:val="28"/>
        </w:rPr>
        <w:t>№ 464/НҚ</w:t>
      </w:r>
      <w:r>
        <w:rPr>
          <w:rFonts w:ascii="Times New Roman"/>
          <w:b w:val="false"/>
          <w:i w:val="false"/>
          <w:color w:val="ff0000"/>
          <w:sz w:val="28"/>
        </w:rPr>
        <w:t xml:space="preserve">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и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30.09.2024 </w:t>
      </w:r>
      <w:r>
        <w:rPr>
          <w:rFonts w:ascii="Times New Roman"/>
          <w:b w:val="false"/>
          <w:i w:val="false"/>
          <w:color w:val="000000"/>
          <w:sz w:val="28"/>
        </w:rPr>
        <w:t>№ 611/НҚ</w:t>
      </w:r>
      <w:r>
        <w:rPr>
          <w:rFonts w:ascii="Times New Roman"/>
          <w:b w:val="false"/>
          <w:i w:val="false"/>
          <w:color w:val="ff0000"/>
          <w:sz w:val="28"/>
        </w:rPr>
        <w:t xml:space="preserve"> (вводится в действие с 08.01.2025).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формирования и мониторинга реализации архитектуры "электронного правительства".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28.11.2022 </w:t>
      </w:r>
      <w:r>
        <w:rPr>
          <w:rFonts w:ascii="Times New Roman"/>
          <w:b w:val="false"/>
          <w:i w:val="false"/>
          <w:color w:val="000000"/>
          <w:sz w:val="28"/>
        </w:rPr>
        <w:t>№ 464/НҚ</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19 сентября 2016 года № 159 "Об утверждении Правил разработки, сопровождения реализации и развития архитектуры государственных органов" (зарегистрирован в Реестре государственной регистрации нормативных правовых актов за № 14523, опубликован 12 января 2017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цифровизации Министерства цифрового развития, инноваций и аэрокосмической промышленности Республики Казахстан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6"/>
    <w:bookmarkStart w:name="z11" w:id="7"/>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 </w:t>
      </w:r>
    </w:p>
    <w:bookmarkEnd w:id="7"/>
    <w:bookmarkStart w:name="z12"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 </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 xml:space="preserve">промышленности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2019 года</w:t>
            </w:r>
            <w:r>
              <w:br/>
            </w:r>
            <w:r>
              <w:rPr>
                <w:rFonts w:ascii="Times New Roman"/>
                <w:b w:val="false"/>
                <w:i w:val="false"/>
                <w:color w:val="000000"/>
                <w:sz w:val="20"/>
              </w:rPr>
              <w:t>№ 193/НҚ</w:t>
            </w:r>
          </w:p>
        </w:tc>
      </w:tr>
    </w:tbl>
    <w:bookmarkStart w:name="z15" w:id="10"/>
    <w:p>
      <w:pPr>
        <w:spacing w:after="0"/>
        <w:ind w:left="0"/>
        <w:jc w:val="left"/>
      </w:pPr>
      <w:r>
        <w:rPr>
          <w:rFonts w:ascii="Times New Roman"/>
          <w:b/>
          <w:i w:val="false"/>
          <w:color w:val="000000"/>
        </w:rPr>
        <w:t xml:space="preserve"> Правила формирования и мониторинга реализации архитектуры "электронного правительства"</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30.09.2024 </w:t>
      </w:r>
      <w:r>
        <w:rPr>
          <w:rFonts w:ascii="Times New Roman"/>
          <w:b w:val="false"/>
          <w:i w:val="false"/>
          <w:color w:val="ff0000"/>
          <w:sz w:val="28"/>
        </w:rPr>
        <w:t>№ 611/НҚ</w:t>
      </w:r>
      <w:r>
        <w:rPr>
          <w:rFonts w:ascii="Times New Roman"/>
          <w:b w:val="false"/>
          <w:i w:val="false"/>
          <w:color w:val="ff0000"/>
          <w:sz w:val="28"/>
        </w:rPr>
        <w:t xml:space="preserve"> (вводится в действие с 08.01.2025).</w:t>
      </w:r>
    </w:p>
    <w:p>
      <w:pPr>
        <w:spacing w:after="0"/>
        <w:ind w:left="0"/>
        <w:jc w:val="left"/>
      </w:pPr>
      <w:r>
        <w:rPr>
          <w:rFonts w:ascii="Times New Roman"/>
          <w:b/>
          <w:i w:val="false"/>
          <w:color w:val="000000"/>
        </w:rPr>
        <w:t xml:space="preserve"> Глава 1. Общие положения</w:t>
      </w:r>
    </w:p>
    <w:bookmarkStart w:name="z16" w:id="11"/>
    <w:p>
      <w:pPr>
        <w:spacing w:after="0"/>
        <w:ind w:left="0"/>
        <w:jc w:val="both"/>
      </w:pPr>
      <w:r>
        <w:rPr>
          <w:rFonts w:ascii="Times New Roman"/>
          <w:b w:val="false"/>
          <w:i w:val="false"/>
          <w:color w:val="000000"/>
          <w:sz w:val="28"/>
        </w:rPr>
        <w:t xml:space="preserve">
      1. Настоящие Правила формирования и мониторинга реализации архитектуры "электронного правительства" (далее – Правила) разработаны в соответствии с подпунктом 17) )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(далее – Положение о Министерстве), и определяют порядок формирования и мониторинга реализации архитектуры "электронного правительства".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3"/>
    <w:bookmarkStart w:name="z20" w:id="14"/>
    <w:p>
      <w:pPr>
        <w:spacing w:after="0"/>
        <w:ind w:left="0"/>
        <w:jc w:val="both"/>
      </w:pPr>
      <w:r>
        <w:rPr>
          <w:rFonts w:ascii="Times New Roman"/>
          <w:b w:val="false"/>
          <w:i w:val="false"/>
          <w:color w:val="000000"/>
          <w:sz w:val="28"/>
        </w:rPr>
        <w:t>
      2) архитектура информационных систем – слой архитектуры "электронного правительства", представляющий собой описание информационных систем государственных органов (прикладного программного обеспечения), автоматизирующих государственные функции и оказываемые вытекающие из них государственные услуги, процессов их взаимодействия, и отношений к функциональным возможностям соответствующих отраслей (сфер) государственного управления;</w:t>
      </w:r>
    </w:p>
    <w:bookmarkEnd w:id="14"/>
    <w:bookmarkStart w:name="z21" w:id="15"/>
    <w:p>
      <w:pPr>
        <w:spacing w:after="0"/>
        <w:ind w:left="0"/>
        <w:jc w:val="both"/>
      </w:pPr>
      <w:r>
        <w:rPr>
          <w:rFonts w:ascii="Times New Roman"/>
          <w:b w:val="false"/>
          <w:i w:val="false"/>
          <w:color w:val="000000"/>
          <w:sz w:val="28"/>
        </w:rPr>
        <w:t>
      3) архитектура информационно-коммуникационной инфраструктуры – слой архитектуры "электронного правительства", представляющий собой описание общесистемного программного обеспечения, аппаратно-программных комплексов, сети телекоммуникаций, средств информационной безопасности и инженерной инфраструктуры;</w:t>
      </w:r>
    </w:p>
    <w:bookmarkEnd w:id="15"/>
    <w:bookmarkStart w:name="z22" w:id="16"/>
    <w:p>
      <w:pPr>
        <w:spacing w:after="0"/>
        <w:ind w:left="0"/>
        <w:jc w:val="both"/>
      </w:pPr>
      <w:r>
        <w:rPr>
          <w:rFonts w:ascii="Times New Roman"/>
          <w:b w:val="false"/>
          <w:i w:val="false"/>
          <w:color w:val="000000"/>
          <w:sz w:val="28"/>
        </w:rPr>
        <w:t>
      4) заинтересованная сторона архитектуры "электронного правительства" и проекта в области информационно-коммуникационных технологий (далее – заинтересованная сторона) – юридическое лицо (государственное юридическое лицо, казенное предприятие, государственное предприятие на праве хозяйственного ведения, субъект квазигосударственного сектора), на деятельность которого окажет влияние формирование архитектуры "электронного правительства", имеющее ожидания и интересы в отношении объектов информатизации "электронного правительства" и программных продуктов информационно-коммуникационной платформы "электронного правительства" (далее – платформенный программный продукт);</w:t>
      </w:r>
    </w:p>
    <w:bookmarkEnd w:id="16"/>
    <w:bookmarkStart w:name="z23" w:id="17"/>
    <w:p>
      <w:pPr>
        <w:spacing w:after="0"/>
        <w:ind w:left="0"/>
        <w:jc w:val="both"/>
      </w:pPr>
      <w:r>
        <w:rPr>
          <w:rFonts w:ascii="Times New Roman"/>
          <w:b w:val="false"/>
          <w:i w:val="false"/>
          <w:color w:val="000000"/>
          <w:sz w:val="28"/>
        </w:rPr>
        <w:t>
      5) проект в области информационно-коммуникационных технологий (далее – ИКТ-проект) – комплекс взаимосвязанных мероприятий по созданию и развитию объектов информатизации "электронного правительства", разработке и размещению платформенных программных продуктов, финансирование которых осуществляется за счет бюджетных средств, в том числе иных источников финансирования, не запрещенных законодательством Республики Казахстан в сфере информатизации;</w:t>
      </w:r>
    </w:p>
    <w:bookmarkEnd w:id="17"/>
    <w:bookmarkStart w:name="z24" w:id="18"/>
    <w:p>
      <w:pPr>
        <w:spacing w:after="0"/>
        <w:ind w:left="0"/>
        <w:jc w:val="both"/>
      </w:pPr>
      <w:r>
        <w:rPr>
          <w:rFonts w:ascii="Times New Roman"/>
          <w:b w:val="false"/>
          <w:i w:val="false"/>
          <w:color w:val="000000"/>
          <w:sz w:val="28"/>
        </w:rPr>
        <w:t>
      6) учетный код объекта информатизации "электронного правительства", платформенного программного продукта – уникальный идентификационный номер, присваиваемый каждому платформенному программному продукту, учет которых осуществляется на архитектурном портале "электронного правительства";</w:t>
      </w:r>
    </w:p>
    <w:bookmarkEnd w:id="18"/>
    <w:bookmarkStart w:name="z25" w:id="19"/>
    <w:p>
      <w:pPr>
        <w:spacing w:after="0"/>
        <w:ind w:left="0"/>
        <w:jc w:val="both"/>
      </w:pPr>
      <w:r>
        <w:rPr>
          <w:rFonts w:ascii="Times New Roman"/>
          <w:b w:val="false"/>
          <w:i w:val="false"/>
          <w:color w:val="000000"/>
          <w:sz w:val="28"/>
        </w:rPr>
        <w:t>
      7) информационное взаимодействие – процесс обмена сведениями и информацией между структурными подразделениями государственных органов, государственных органов с подведомственными организациями, другими государственными органами, физическими и юридическими лицами;</w:t>
      </w:r>
    </w:p>
    <w:bookmarkEnd w:id="19"/>
    <w:bookmarkStart w:name="z26" w:id="20"/>
    <w:p>
      <w:pPr>
        <w:spacing w:after="0"/>
        <w:ind w:left="0"/>
        <w:jc w:val="both"/>
      </w:pPr>
      <w:r>
        <w:rPr>
          <w:rFonts w:ascii="Times New Roman"/>
          <w:b w:val="false"/>
          <w:i w:val="false"/>
          <w:color w:val="000000"/>
          <w:sz w:val="28"/>
        </w:rPr>
        <w:t>
      8) контекст архитектуры "электронного правительства" – внутренняя среда и внешние условия функционирования "электронного правительства", в рамках которых осуществляется формирование архитектуры "электронного правительства";</w:t>
      </w:r>
    </w:p>
    <w:bookmarkEnd w:id="20"/>
    <w:bookmarkStart w:name="z27" w:id="21"/>
    <w:p>
      <w:pPr>
        <w:spacing w:after="0"/>
        <w:ind w:left="0"/>
        <w:jc w:val="both"/>
      </w:pPr>
      <w:r>
        <w:rPr>
          <w:rFonts w:ascii="Times New Roman"/>
          <w:b w:val="false"/>
          <w:i w:val="false"/>
          <w:color w:val="000000"/>
          <w:sz w:val="28"/>
        </w:rPr>
        <w:t xml:space="preserve">
      9) архитектура данных – слой архитектуры "электронного правительства", представляющий собой описание информационных ресурсов, содержащихся в них данных, информационного взаимодействия, в том числе подходов и средств управления данными; </w:t>
      </w:r>
    </w:p>
    <w:bookmarkEnd w:id="21"/>
    <w:bookmarkStart w:name="z28" w:id="22"/>
    <w:p>
      <w:pPr>
        <w:spacing w:after="0"/>
        <w:ind w:left="0"/>
        <w:jc w:val="both"/>
      </w:pPr>
      <w:r>
        <w:rPr>
          <w:rFonts w:ascii="Times New Roman"/>
          <w:b w:val="false"/>
          <w:i w:val="false"/>
          <w:color w:val="000000"/>
          <w:sz w:val="28"/>
        </w:rPr>
        <w:t xml:space="preserve">
      10) клиентоориентированная архитектура – архитектура, сформированная с применением клиентоориентированного подхода через проектирование множества клиентских путей, возникающих у услугополучателей домена (нескольких доменов), построенная вокруг потребностей услугополучателей; </w:t>
      </w:r>
    </w:p>
    <w:bookmarkEnd w:id="22"/>
    <w:bookmarkStart w:name="z29" w:id="23"/>
    <w:p>
      <w:pPr>
        <w:spacing w:after="0"/>
        <w:ind w:left="0"/>
        <w:jc w:val="both"/>
      </w:pPr>
      <w:r>
        <w:rPr>
          <w:rFonts w:ascii="Times New Roman"/>
          <w:b w:val="false"/>
          <w:i w:val="false"/>
          <w:color w:val="000000"/>
          <w:sz w:val="28"/>
        </w:rPr>
        <w:t xml:space="preserve">
      11) клиентоориентированный подход – подход, применяющийся при проектировании и реинжиниринге бизнес-процессов в целях их максимальной адаптации для услугополучателя с учетом его персональных характеристик; </w:t>
      </w:r>
    </w:p>
    <w:bookmarkEnd w:id="23"/>
    <w:bookmarkStart w:name="z30" w:id="24"/>
    <w:p>
      <w:pPr>
        <w:spacing w:after="0"/>
        <w:ind w:left="0"/>
        <w:jc w:val="both"/>
      </w:pPr>
      <w:r>
        <w:rPr>
          <w:rFonts w:ascii="Times New Roman"/>
          <w:b w:val="false"/>
          <w:i w:val="false"/>
          <w:color w:val="000000"/>
          <w:sz w:val="28"/>
        </w:rPr>
        <w:t>
      12) архитектура деятельности – слой архитектуры "электронного правительства", представляющий собой описание стратегических приоритетов, целей, задач, функциональных возможностей (группы функций), функций, бизнес-процессов и услуг в разрезе соответствующих доменов;</w:t>
      </w:r>
    </w:p>
    <w:bookmarkEnd w:id="24"/>
    <w:bookmarkStart w:name="z31" w:id="25"/>
    <w:p>
      <w:pPr>
        <w:spacing w:after="0"/>
        <w:ind w:left="0"/>
        <w:jc w:val="both"/>
      </w:pPr>
      <w:r>
        <w:rPr>
          <w:rFonts w:ascii="Times New Roman"/>
          <w:b w:val="false"/>
          <w:i w:val="false"/>
          <w:color w:val="000000"/>
          <w:sz w:val="28"/>
        </w:rPr>
        <w:t>
      13) государственный орган (далее – ГО) – центральный государственный орган и государственный орган, непосредственно подчиненный и подотчетный Президенту Республики Казахстан, а также местные исполнительные органы области, города республиканского значения, столицы;</w:t>
      </w:r>
    </w:p>
    <w:bookmarkEnd w:id="25"/>
    <w:bookmarkStart w:name="z32" w:id="26"/>
    <w:p>
      <w:pPr>
        <w:spacing w:after="0"/>
        <w:ind w:left="0"/>
        <w:jc w:val="both"/>
      </w:pPr>
      <w:r>
        <w:rPr>
          <w:rFonts w:ascii="Times New Roman"/>
          <w:b w:val="false"/>
          <w:i w:val="false"/>
          <w:color w:val="000000"/>
          <w:sz w:val="28"/>
        </w:rPr>
        <w:t>
      14) техническая документация – комплект документации на объект информатизации, на основании которого осуществляется создание и развитие объекта информатизации, а также его опытная и промышленная эксплуатация;</w:t>
      </w:r>
    </w:p>
    <w:bookmarkEnd w:id="26"/>
    <w:bookmarkStart w:name="z33" w:id="27"/>
    <w:p>
      <w:pPr>
        <w:spacing w:after="0"/>
        <w:ind w:left="0"/>
        <w:jc w:val="both"/>
      </w:pPr>
      <w:r>
        <w:rPr>
          <w:rFonts w:ascii="Times New Roman"/>
          <w:b w:val="false"/>
          <w:i w:val="false"/>
          <w:color w:val="000000"/>
          <w:sz w:val="28"/>
        </w:rPr>
        <w:t>
      15) информационно-коммуникационная платформа "электронного правительства" (далее – ИКП ЭП) – технологическая платформа, предназначенная для автоматизации деятельности государственного органа, в том числе автоматизации государственных функций и оказания вытекающих из них государственных услуг, а также централизованного сбора, обработки, хранения государственных электронных информационных ресурсов;";</w:t>
      </w:r>
    </w:p>
    <w:bookmarkEnd w:id="27"/>
    <w:bookmarkStart w:name="z34" w:id="28"/>
    <w:p>
      <w:pPr>
        <w:spacing w:after="0"/>
        <w:ind w:left="0"/>
        <w:jc w:val="both"/>
      </w:pPr>
      <w:r>
        <w:rPr>
          <w:rFonts w:ascii="Times New Roman"/>
          <w:b w:val="false"/>
          <w:i w:val="false"/>
          <w:color w:val="000000"/>
          <w:sz w:val="28"/>
        </w:rPr>
        <w:t>
      16) архитектура "электронного правительства" – описание объектов информатизации "электронного правительства", включая задачи, функции государственного управления в разрезе соответствующих доменов государственного управления, в цифровой форме;</w:t>
      </w:r>
    </w:p>
    <w:bookmarkEnd w:id="28"/>
    <w:bookmarkStart w:name="z35" w:id="29"/>
    <w:p>
      <w:pPr>
        <w:spacing w:after="0"/>
        <w:ind w:left="0"/>
        <w:jc w:val="both"/>
      </w:pPr>
      <w:r>
        <w:rPr>
          <w:rFonts w:ascii="Times New Roman"/>
          <w:b w:val="false"/>
          <w:i w:val="false"/>
          <w:color w:val="000000"/>
          <w:sz w:val="28"/>
        </w:rPr>
        <w:t>
      17) слой архитектуры "электронного правительства" – составная часть архитектуры "электронного правительства", характеризующая состояние электронного правительства с одной перспективы, описывающей деятельность, данные, информационные системы и информационно-коммуникационную инфраструктуру;</w:t>
      </w:r>
    </w:p>
    <w:bookmarkEnd w:id="29"/>
    <w:bookmarkStart w:name="z36" w:id="30"/>
    <w:p>
      <w:pPr>
        <w:spacing w:after="0"/>
        <w:ind w:left="0"/>
        <w:jc w:val="both"/>
      </w:pPr>
      <w:r>
        <w:rPr>
          <w:rFonts w:ascii="Times New Roman"/>
          <w:b w:val="false"/>
          <w:i w:val="false"/>
          <w:color w:val="000000"/>
          <w:sz w:val="28"/>
        </w:rPr>
        <w:t>
      18)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w:t>
      </w:r>
    </w:p>
    <w:bookmarkEnd w:id="30"/>
    <w:bookmarkStart w:name="z37" w:id="31"/>
    <w:p>
      <w:pPr>
        <w:spacing w:after="0"/>
        <w:ind w:left="0"/>
        <w:jc w:val="both"/>
      </w:pPr>
      <w:r>
        <w:rPr>
          <w:rFonts w:ascii="Times New Roman"/>
          <w:b w:val="false"/>
          <w:i w:val="false"/>
          <w:color w:val="000000"/>
          <w:sz w:val="28"/>
        </w:rPr>
        <w:t>
      19) программный продукт информационно-коммуникационной платформы "электронного правительства" (далее – платформенный программный продукт) – это программное обеспечение, разработанное и размещенное на информационно-коммуникационной платформе "электронного правительства";</w:t>
      </w:r>
    </w:p>
    <w:bookmarkEnd w:id="31"/>
    <w:bookmarkStart w:name="z38" w:id="32"/>
    <w:p>
      <w:pPr>
        <w:spacing w:after="0"/>
        <w:ind w:left="0"/>
        <w:jc w:val="both"/>
      </w:pPr>
      <w:r>
        <w:rPr>
          <w:rFonts w:ascii="Times New Roman"/>
          <w:b w:val="false"/>
          <w:i w:val="false"/>
          <w:color w:val="000000"/>
          <w:sz w:val="28"/>
        </w:rPr>
        <w:t>
      20) архитектурный портал "электронного правительства" (далее – архитектурный портал) – объект информатизации, предназначенный для осуществления учета, хранения и систематизации сведений об объектах информатизации "электронного правительства", архитектуры "электронного правительства", платформенных программных продуктов, в целях дальнейшего использования государственными органами для мониторинга, анализа и планирования в сфере информатизации.</w:t>
      </w:r>
    </w:p>
    <w:bookmarkEnd w:id="32"/>
    <w:bookmarkStart w:name="z39" w:id="33"/>
    <w:p>
      <w:pPr>
        <w:spacing w:after="0"/>
        <w:ind w:left="0"/>
        <w:jc w:val="both"/>
      </w:pPr>
      <w:r>
        <w:rPr>
          <w:rFonts w:ascii="Times New Roman"/>
          <w:b w:val="false"/>
          <w:i w:val="false"/>
          <w:color w:val="000000"/>
          <w:sz w:val="28"/>
        </w:rPr>
        <w:t>
      3. Архитектура "электронного правительства" предназначена для формирования целевой клиентоориентированной архитектуры государства на базе доменной модели в целях эффективного управления ИКТ-проектами, в том числе реализации на ИКП ЭП.</w:t>
      </w:r>
    </w:p>
    <w:bookmarkEnd w:id="33"/>
    <w:bookmarkStart w:name="z40" w:id="34"/>
    <w:p>
      <w:pPr>
        <w:spacing w:after="0"/>
        <w:ind w:left="0"/>
        <w:jc w:val="both"/>
      </w:pPr>
      <w:r>
        <w:rPr>
          <w:rFonts w:ascii="Times New Roman"/>
          <w:b w:val="false"/>
          <w:i w:val="false"/>
          <w:color w:val="000000"/>
          <w:sz w:val="28"/>
        </w:rPr>
        <w:t>
      Архитектура ИКП ЭП формируется и утверждается оператором информационно-коммуникационной инфраструктуры "электронного правительства" по согласованию с сервисным интегратором "электронного правительства" и уполномоченным органом.</w:t>
      </w:r>
    </w:p>
    <w:bookmarkEnd w:id="34"/>
    <w:bookmarkStart w:name="z41" w:id="35"/>
    <w:p>
      <w:pPr>
        <w:spacing w:after="0"/>
        <w:ind w:left="0"/>
        <w:jc w:val="left"/>
      </w:pPr>
      <w:r>
        <w:rPr>
          <w:rFonts w:ascii="Times New Roman"/>
          <w:b/>
          <w:i w:val="false"/>
          <w:color w:val="000000"/>
        </w:rPr>
        <w:t xml:space="preserve"> Глава 2. Порядок формирования архитектуры "электронного правительства"</w:t>
      </w:r>
    </w:p>
    <w:bookmarkEnd w:id="35"/>
    <w:bookmarkStart w:name="z42" w:id="36"/>
    <w:p>
      <w:pPr>
        <w:spacing w:after="0"/>
        <w:ind w:left="0"/>
        <w:jc w:val="both"/>
      </w:pPr>
      <w:r>
        <w:rPr>
          <w:rFonts w:ascii="Times New Roman"/>
          <w:b w:val="false"/>
          <w:i w:val="false"/>
          <w:color w:val="000000"/>
          <w:sz w:val="28"/>
        </w:rPr>
        <w:t>
      4. Сервисный интегратор "электронного правительства" обеспечивает формирование и развитие архитектуры "электронного правительства".</w:t>
      </w:r>
    </w:p>
    <w:bookmarkEnd w:id="36"/>
    <w:bookmarkStart w:name="z43" w:id="37"/>
    <w:p>
      <w:pPr>
        <w:spacing w:after="0"/>
        <w:ind w:left="0"/>
        <w:jc w:val="both"/>
      </w:pPr>
      <w:r>
        <w:rPr>
          <w:rFonts w:ascii="Times New Roman"/>
          <w:b w:val="false"/>
          <w:i w:val="false"/>
          <w:color w:val="000000"/>
          <w:sz w:val="28"/>
        </w:rPr>
        <w:t xml:space="preserve">
      5. Формирование и мониторинг архитектуры "электронного правительства" осуществляется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и настоящими Правилами.</w:t>
      </w:r>
    </w:p>
    <w:bookmarkEnd w:id="37"/>
    <w:bookmarkStart w:name="z44" w:id="38"/>
    <w:p>
      <w:pPr>
        <w:spacing w:after="0"/>
        <w:ind w:left="0"/>
        <w:jc w:val="both"/>
      </w:pPr>
      <w:r>
        <w:rPr>
          <w:rFonts w:ascii="Times New Roman"/>
          <w:b w:val="false"/>
          <w:i w:val="false"/>
          <w:color w:val="000000"/>
          <w:sz w:val="28"/>
        </w:rPr>
        <w:t>
      6. Основаниями формирования и мониторинга архитектуры "электронного правительства" являются:</w:t>
      </w:r>
    </w:p>
    <w:bookmarkEnd w:id="38"/>
    <w:bookmarkStart w:name="z45" w:id="39"/>
    <w:p>
      <w:pPr>
        <w:spacing w:after="0"/>
        <w:ind w:left="0"/>
        <w:jc w:val="both"/>
      </w:pPr>
      <w:r>
        <w:rPr>
          <w:rFonts w:ascii="Times New Roman"/>
          <w:b w:val="false"/>
          <w:i w:val="false"/>
          <w:color w:val="000000"/>
          <w:sz w:val="28"/>
        </w:rPr>
        <w:t>
      1) реорганизация органов государственного управления;</w:t>
      </w:r>
    </w:p>
    <w:bookmarkEnd w:id="39"/>
    <w:bookmarkStart w:name="z46" w:id="40"/>
    <w:p>
      <w:pPr>
        <w:spacing w:after="0"/>
        <w:ind w:left="0"/>
        <w:jc w:val="both"/>
      </w:pPr>
      <w:r>
        <w:rPr>
          <w:rFonts w:ascii="Times New Roman"/>
          <w:b w:val="false"/>
          <w:i w:val="false"/>
          <w:color w:val="000000"/>
          <w:sz w:val="28"/>
        </w:rPr>
        <w:t xml:space="preserve">
      2) принятие новых, внесение изменений и дополнений в действующие нормативные правовые акты и документы, определенные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 (далее – документы Системы государственного планирования);</w:t>
      </w:r>
    </w:p>
    <w:bookmarkEnd w:id="40"/>
    <w:bookmarkStart w:name="z47" w:id="41"/>
    <w:p>
      <w:pPr>
        <w:spacing w:after="0"/>
        <w:ind w:left="0"/>
        <w:jc w:val="both"/>
      </w:pPr>
      <w:r>
        <w:rPr>
          <w:rFonts w:ascii="Times New Roman"/>
          <w:b w:val="false"/>
          <w:i w:val="false"/>
          <w:color w:val="000000"/>
          <w:sz w:val="28"/>
        </w:rPr>
        <w:t xml:space="preserve">
      3) реинжиниринг бизнес-процессов ГО, в рамках которого реализация целевого варианта бизнес-процесса предусматривает автоматизацию деятельности государственного органа, в том числе государственных функций и оказания вытекающих из них государственных услуг, проводимый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End w:id="41"/>
    <w:bookmarkStart w:name="z48" w:id="42"/>
    <w:p>
      <w:pPr>
        <w:spacing w:after="0"/>
        <w:ind w:left="0"/>
        <w:jc w:val="both"/>
      </w:pPr>
      <w:r>
        <w:rPr>
          <w:rFonts w:ascii="Times New Roman"/>
          <w:b w:val="false"/>
          <w:i w:val="false"/>
          <w:color w:val="000000"/>
          <w:sz w:val="28"/>
        </w:rPr>
        <w:t>
      4) несоответствие создаваемых, развиваемых объектов информатизации "электронного правительства", платформенных программных продуктов архитектуре "электронного правительства";</w:t>
      </w:r>
    </w:p>
    <w:bookmarkEnd w:id="42"/>
    <w:bookmarkStart w:name="z49" w:id="43"/>
    <w:p>
      <w:pPr>
        <w:spacing w:after="0"/>
        <w:ind w:left="0"/>
        <w:jc w:val="both"/>
      </w:pPr>
      <w:r>
        <w:rPr>
          <w:rFonts w:ascii="Times New Roman"/>
          <w:b w:val="false"/>
          <w:i w:val="false"/>
          <w:color w:val="000000"/>
          <w:sz w:val="28"/>
        </w:rPr>
        <w:t>
      5) определение сервисным интегратором в рамках мониторинга реализации архитектуры "электронного правительства" необходимости внесения изменений и переработки соответствующей архитектуры домена, архитектуры "электронного правительства". Архитектура домена включает архитектуру деятельности, архитектуру информационных систем, архитектуру данных и архитектуру информационно-коммуникационной инфраструктуры;</w:t>
      </w:r>
    </w:p>
    <w:bookmarkEnd w:id="43"/>
    <w:bookmarkStart w:name="z50" w:id="44"/>
    <w:p>
      <w:pPr>
        <w:spacing w:after="0"/>
        <w:ind w:left="0"/>
        <w:jc w:val="both"/>
      </w:pPr>
      <w:r>
        <w:rPr>
          <w:rFonts w:ascii="Times New Roman"/>
          <w:b w:val="false"/>
          <w:i w:val="false"/>
          <w:color w:val="000000"/>
          <w:sz w:val="28"/>
        </w:rPr>
        <w:t>
      6) рекомендации сервисного интегратора.</w:t>
      </w:r>
    </w:p>
    <w:bookmarkEnd w:id="44"/>
    <w:bookmarkStart w:name="z51" w:id="45"/>
    <w:p>
      <w:pPr>
        <w:spacing w:after="0"/>
        <w:ind w:left="0"/>
        <w:jc w:val="both"/>
      </w:pPr>
      <w:r>
        <w:rPr>
          <w:rFonts w:ascii="Times New Roman"/>
          <w:b w:val="false"/>
          <w:i w:val="false"/>
          <w:color w:val="000000"/>
          <w:sz w:val="28"/>
        </w:rPr>
        <w:t>
      7. Процесс формирования и развития архитектуры "электронного правительства" включает следующие этапы:</w:t>
      </w:r>
    </w:p>
    <w:bookmarkEnd w:id="45"/>
    <w:bookmarkStart w:name="z52" w:id="46"/>
    <w:p>
      <w:pPr>
        <w:spacing w:after="0"/>
        <w:ind w:left="0"/>
        <w:jc w:val="both"/>
      </w:pPr>
      <w:r>
        <w:rPr>
          <w:rFonts w:ascii="Times New Roman"/>
          <w:b w:val="false"/>
          <w:i w:val="false"/>
          <w:color w:val="000000"/>
          <w:sz w:val="28"/>
        </w:rPr>
        <w:t>
      1) определение текущей архитектуры "электронного правительства";</w:t>
      </w:r>
    </w:p>
    <w:bookmarkEnd w:id="46"/>
    <w:bookmarkStart w:name="z53" w:id="47"/>
    <w:p>
      <w:pPr>
        <w:spacing w:after="0"/>
        <w:ind w:left="0"/>
        <w:jc w:val="both"/>
      </w:pPr>
      <w:r>
        <w:rPr>
          <w:rFonts w:ascii="Times New Roman"/>
          <w:b w:val="false"/>
          <w:i w:val="false"/>
          <w:color w:val="000000"/>
          <w:sz w:val="28"/>
        </w:rPr>
        <w:t>
      2) описание стратегических целей, целевых индикаторов, задач, показателей государственного управления в разрезе отраслей (сфер);</w:t>
      </w:r>
    </w:p>
    <w:bookmarkEnd w:id="47"/>
    <w:bookmarkStart w:name="z54" w:id="48"/>
    <w:p>
      <w:pPr>
        <w:spacing w:after="0"/>
        <w:ind w:left="0"/>
        <w:jc w:val="both"/>
      </w:pPr>
      <w:r>
        <w:rPr>
          <w:rFonts w:ascii="Times New Roman"/>
          <w:b w:val="false"/>
          <w:i w:val="false"/>
          <w:color w:val="000000"/>
          <w:sz w:val="28"/>
        </w:rPr>
        <w:t>
      3) формирование целевой архитектуры "электронного правительства".</w:t>
      </w:r>
    </w:p>
    <w:bookmarkEnd w:id="48"/>
    <w:bookmarkStart w:name="z55" w:id="49"/>
    <w:p>
      <w:pPr>
        <w:spacing w:after="0"/>
        <w:ind w:left="0"/>
        <w:jc w:val="both"/>
      </w:pPr>
      <w:r>
        <w:rPr>
          <w:rFonts w:ascii="Times New Roman"/>
          <w:b w:val="false"/>
          <w:i w:val="false"/>
          <w:color w:val="000000"/>
          <w:sz w:val="28"/>
        </w:rPr>
        <w:t>
      8. В рамках текущей архитектуры "электронного правительства" сервисный интегратор на архитектурном портале "электронного правительства":</w:t>
      </w:r>
    </w:p>
    <w:bookmarkEnd w:id="49"/>
    <w:bookmarkStart w:name="z56" w:id="50"/>
    <w:p>
      <w:pPr>
        <w:spacing w:after="0"/>
        <w:ind w:left="0"/>
        <w:jc w:val="both"/>
      </w:pPr>
      <w:r>
        <w:rPr>
          <w:rFonts w:ascii="Times New Roman"/>
          <w:b w:val="false"/>
          <w:i w:val="false"/>
          <w:color w:val="000000"/>
          <w:sz w:val="28"/>
        </w:rPr>
        <w:t>
      1) определяет и описывает домены деятельности государственного управления и осуществляемые в рамках их специфичные государственные функции, и вытекающие из них государственные услуги с учетом разработанных архитектур ГО и типовой архитектуры "электронного акимата";</w:t>
      </w:r>
    </w:p>
    <w:bookmarkEnd w:id="50"/>
    <w:bookmarkStart w:name="z57" w:id="51"/>
    <w:p>
      <w:pPr>
        <w:spacing w:after="0"/>
        <w:ind w:left="0"/>
        <w:jc w:val="both"/>
      </w:pPr>
      <w:r>
        <w:rPr>
          <w:rFonts w:ascii="Times New Roman"/>
          <w:b w:val="false"/>
          <w:i w:val="false"/>
          <w:color w:val="000000"/>
          <w:sz w:val="28"/>
        </w:rPr>
        <w:t>
      2) анализирует архитектуры ГО, типовую архитектуру "электронного акимата", организационные структуры, положения ГО и государственные функции, по результатам группирует государственные функции и услуги в перечень функциональных возможностей государственного управления;</w:t>
      </w:r>
    </w:p>
    <w:bookmarkEnd w:id="51"/>
    <w:bookmarkStart w:name="z58" w:id="52"/>
    <w:p>
      <w:pPr>
        <w:spacing w:after="0"/>
        <w:ind w:left="0"/>
        <w:jc w:val="both"/>
      </w:pPr>
      <w:r>
        <w:rPr>
          <w:rFonts w:ascii="Times New Roman"/>
          <w:b w:val="false"/>
          <w:i w:val="false"/>
          <w:color w:val="000000"/>
          <w:sz w:val="28"/>
        </w:rPr>
        <w:t>
      3) формирует функциональную модель "электронного правительства" из перечня функциональных возможностей;</w:t>
      </w:r>
    </w:p>
    <w:bookmarkEnd w:id="52"/>
    <w:bookmarkStart w:name="z59" w:id="53"/>
    <w:p>
      <w:pPr>
        <w:spacing w:after="0"/>
        <w:ind w:left="0"/>
        <w:jc w:val="both"/>
      </w:pPr>
      <w:r>
        <w:rPr>
          <w:rFonts w:ascii="Times New Roman"/>
          <w:b w:val="false"/>
          <w:i w:val="false"/>
          <w:color w:val="000000"/>
          <w:sz w:val="28"/>
        </w:rPr>
        <w:t>
      4) проводит в рамках масштаба архитектуры "электронного правительства" обследование и описание объектов информатизации "электронного правительства", платформенных программных продуктов, в том числе с использованием сведений из архитектурного портала "электронного правительства";</w:t>
      </w:r>
    </w:p>
    <w:bookmarkEnd w:id="53"/>
    <w:bookmarkStart w:name="z60" w:id="54"/>
    <w:p>
      <w:pPr>
        <w:spacing w:after="0"/>
        <w:ind w:left="0"/>
        <w:jc w:val="both"/>
      </w:pPr>
      <w:r>
        <w:rPr>
          <w:rFonts w:ascii="Times New Roman"/>
          <w:b w:val="false"/>
          <w:i w:val="false"/>
          <w:color w:val="000000"/>
          <w:sz w:val="28"/>
        </w:rPr>
        <w:t xml:space="preserve">
      5) формирует и ведет концептуальную модель данных домена на основе каталога данных, формируемого согласно Требованиям по управлению данными, утверждаемым в соответствии с </w:t>
      </w:r>
      <w:r>
        <w:rPr>
          <w:rFonts w:ascii="Times New Roman"/>
          <w:b w:val="false"/>
          <w:i w:val="false"/>
          <w:color w:val="000000"/>
          <w:sz w:val="28"/>
        </w:rPr>
        <w:t>подпунктом 245-1)</w:t>
      </w:r>
      <w:r>
        <w:rPr>
          <w:rFonts w:ascii="Times New Roman"/>
          <w:b w:val="false"/>
          <w:i w:val="false"/>
          <w:color w:val="000000"/>
          <w:sz w:val="28"/>
        </w:rPr>
        <w:t xml:space="preserve"> пункта 15 Положения о Министерстве, а также описывает потоки информационного взаимодействия между участниками отраслей деятельности;</w:t>
      </w:r>
    </w:p>
    <w:bookmarkEnd w:id="54"/>
    <w:bookmarkStart w:name="z61" w:id="55"/>
    <w:p>
      <w:pPr>
        <w:spacing w:after="0"/>
        <w:ind w:left="0"/>
        <w:jc w:val="both"/>
      </w:pPr>
      <w:r>
        <w:rPr>
          <w:rFonts w:ascii="Times New Roman"/>
          <w:b w:val="false"/>
          <w:i w:val="false"/>
          <w:color w:val="000000"/>
          <w:sz w:val="28"/>
        </w:rPr>
        <w:t>
      6) проверяет достоверность и корректность сведений и присваивает учетный код объекту информатизации "электронного правительства", платформенному программному продукту, размещенному на архитектурном портале "электронного правительства";</w:t>
      </w:r>
    </w:p>
    <w:bookmarkEnd w:id="55"/>
    <w:bookmarkStart w:name="z62" w:id="56"/>
    <w:p>
      <w:pPr>
        <w:spacing w:after="0"/>
        <w:ind w:left="0"/>
        <w:jc w:val="both"/>
      </w:pPr>
      <w:r>
        <w:rPr>
          <w:rFonts w:ascii="Times New Roman"/>
          <w:b w:val="false"/>
          <w:i w:val="false"/>
          <w:color w:val="000000"/>
          <w:sz w:val="28"/>
        </w:rPr>
        <w:t>
      7) проводит анализ существующих ИКТ-проектов ГО и зависимости между внутриведомственными, отраслевыми и межведомственными ИКТ-проектами.</w:t>
      </w:r>
    </w:p>
    <w:bookmarkEnd w:id="56"/>
    <w:bookmarkStart w:name="z63" w:id="57"/>
    <w:p>
      <w:pPr>
        <w:spacing w:after="0"/>
        <w:ind w:left="0"/>
        <w:jc w:val="both"/>
      </w:pPr>
      <w:r>
        <w:rPr>
          <w:rFonts w:ascii="Times New Roman"/>
          <w:b w:val="false"/>
          <w:i w:val="false"/>
          <w:color w:val="000000"/>
          <w:sz w:val="28"/>
        </w:rPr>
        <w:t xml:space="preserve">
      9. Государственные органы, местные исполнительные органы и государственные юридические лица, субъекты квазигосударственного сектора, в целях учета объектов информатизации "электронного правительства", платформенных программных продуктов и формирования архитектуры "электронного правительства" осуществляют на постоянной основе учет и актуализацию сведений об объектах информатизации "электронного правительства", платформенных программных продуктах и технической документации объектов информатизации "электронного правительства" на архитектурном портале "электронного правительства"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7"/>
    <w:bookmarkStart w:name="z64" w:id="58"/>
    <w:p>
      <w:pPr>
        <w:spacing w:after="0"/>
        <w:ind w:left="0"/>
        <w:jc w:val="both"/>
      </w:pPr>
      <w:r>
        <w:rPr>
          <w:rFonts w:ascii="Times New Roman"/>
          <w:b w:val="false"/>
          <w:i w:val="false"/>
          <w:color w:val="000000"/>
          <w:sz w:val="28"/>
        </w:rPr>
        <w:t xml:space="preserve">
      10. Для учета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на архитектурном портале, государственные органы, местные исполнительные органы, государственные юридические лица, субъекты квазигосударственного сектора "электронного правительства" подают сервисному интегратору посредством архитектурного портала заявку на предоставление учетной записи пользователя архитектурного портала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8"/>
    <w:bookmarkStart w:name="z65" w:id="59"/>
    <w:p>
      <w:pPr>
        <w:spacing w:after="0"/>
        <w:ind w:left="0"/>
        <w:jc w:val="both"/>
      </w:pPr>
      <w:r>
        <w:rPr>
          <w:rFonts w:ascii="Times New Roman"/>
          <w:b w:val="false"/>
          <w:i w:val="false"/>
          <w:color w:val="000000"/>
          <w:sz w:val="28"/>
        </w:rPr>
        <w:t>
      11. Сервисный интегратор в течение одного рабочего дня с даты получения заявки предоставляет учетную запись пользователя на архитектурном портале, учетная запись предоставляет доступ к сервисам архитектурного портала и архитектуре "электронного правительства".</w:t>
      </w:r>
    </w:p>
    <w:bookmarkEnd w:id="59"/>
    <w:bookmarkStart w:name="z66" w:id="60"/>
    <w:p>
      <w:pPr>
        <w:spacing w:after="0"/>
        <w:ind w:left="0"/>
        <w:jc w:val="both"/>
      </w:pPr>
      <w:r>
        <w:rPr>
          <w:rFonts w:ascii="Times New Roman"/>
          <w:b w:val="false"/>
          <w:i w:val="false"/>
          <w:color w:val="000000"/>
          <w:sz w:val="28"/>
        </w:rPr>
        <w:t>
      12. Сервисный интегратор в течение двух рабочих дней, в случае полного представления сведений об объектах информатизации "электронного правительства", платформенных программных продуктов и технической документации объектов информатизации "электронного правительства", проверяет достоверность и корректность данных, присваивает учетный код объекту информатизации "электронного правительства", платформенному программному продукту.</w:t>
      </w:r>
    </w:p>
    <w:bookmarkEnd w:id="60"/>
    <w:bookmarkStart w:name="z67" w:id="61"/>
    <w:p>
      <w:pPr>
        <w:spacing w:after="0"/>
        <w:ind w:left="0"/>
        <w:jc w:val="both"/>
      </w:pPr>
      <w:r>
        <w:rPr>
          <w:rFonts w:ascii="Times New Roman"/>
          <w:b w:val="false"/>
          <w:i w:val="false"/>
          <w:color w:val="000000"/>
          <w:sz w:val="28"/>
        </w:rPr>
        <w:t>
      В случае неполноты либо некорректности внесенных данных, сервисный интегратор уведомляет владельца объектов информатизации "электронного правительства", платформенного программного продукта посредством архитектурного портала о необходимости дополнения либо изменения представленных сведений и технической документации.</w:t>
      </w:r>
    </w:p>
    <w:bookmarkEnd w:id="61"/>
    <w:bookmarkStart w:name="z68" w:id="62"/>
    <w:p>
      <w:pPr>
        <w:spacing w:after="0"/>
        <w:ind w:left="0"/>
        <w:jc w:val="both"/>
      </w:pPr>
      <w:r>
        <w:rPr>
          <w:rFonts w:ascii="Times New Roman"/>
          <w:b w:val="false"/>
          <w:i w:val="false"/>
          <w:color w:val="000000"/>
          <w:sz w:val="28"/>
        </w:rPr>
        <w:t>
      13. Представление и актуализация сведений о создаваемом (развиваемом) или приобретенном объекте информатизации "электронного правительства", платформенном программном продукте осуществляется государственным органом на всех этапах жизненного цикла объекта информатизации "электронного правительства".</w:t>
      </w:r>
    </w:p>
    <w:bookmarkEnd w:id="62"/>
    <w:bookmarkStart w:name="z69" w:id="63"/>
    <w:p>
      <w:pPr>
        <w:spacing w:after="0"/>
        <w:ind w:left="0"/>
        <w:jc w:val="both"/>
      </w:pPr>
      <w:r>
        <w:rPr>
          <w:rFonts w:ascii="Times New Roman"/>
          <w:b w:val="false"/>
          <w:i w:val="false"/>
          <w:color w:val="000000"/>
          <w:sz w:val="28"/>
        </w:rPr>
        <w:t>
      Владелец объектов информатизации "электронного правительства", платформенных программных продуктов обеспечивает актуализацию сведений об объектах информатизации "электронного правительства", платформенных программных продуктов на архитектурном портале в срок не позднее пяти рабочих дней с момента изменения сведений об объектах информатизации "электронного правительства", платформенных программных продуктов или обнаружения их отсутствия.</w:t>
      </w:r>
    </w:p>
    <w:bookmarkEnd w:id="63"/>
    <w:bookmarkStart w:name="z70" w:id="64"/>
    <w:p>
      <w:pPr>
        <w:spacing w:after="0"/>
        <w:ind w:left="0"/>
        <w:jc w:val="both"/>
      </w:pPr>
      <w:r>
        <w:rPr>
          <w:rFonts w:ascii="Times New Roman"/>
          <w:b w:val="false"/>
          <w:i w:val="false"/>
          <w:color w:val="000000"/>
          <w:sz w:val="28"/>
        </w:rPr>
        <w:t>
      14. В рамках описания стратегических целей, целевых индикаторов, задач и показателей, проблем и возможностей государственного управления в отраслях (сферах) сервисный интегратор "электронного правительства":</w:t>
      </w:r>
    </w:p>
    <w:bookmarkEnd w:id="64"/>
    <w:bookmarkStart w:name="z71" w:id="65"/>
    <w:p>
      <w:pPr>
        <w:spacing w:after="0"/>
        <w:ind w:left="0"/>
        <w:jc w:val="both"/>
      </w:pPr>
      <w:r>
        <w:rPr>
          <w:rFonts w:ascii="Times New Roman"/>
          <w:b w:val="false"/>
          <w:i w:val="false"/>
          <w:color w:val="000000"/>
          <w:sz w:val="28"/>
        </w:rPr>
        <w:t>
      1) описывает перечень целей, задач, целевых индикаторов и показателей ГО, отраженных в законах Республики Казахстан и документах Системы государственного планирования, соответствующих контексту разрабатываемой архитектуры "электронного правительства";</w:t>
      </w:r>
    </w:p>
    <w:bookmarkEnd w:id="65"/>
    <w:bookmarkStart w:name="z72" w:id="66"/>
    <w:p>
      <w:pPr>
        <w:spacing w:after="0"/>
        <w:ind w:left="0"/>
        <w:jc w:val="both"/>
      </w:pPr>
      <w:r>
        <w:rPr>
          <w:rFonts w:ascii="Times New Roman"/>
          <w:b w:val="false"/>
          <w:i w:val="false"/>
          <w:color w:val="000000"/>
          <w:sz w:val="28"/>
        </w:rPr>
        <w:t>
      2) определяет существующие проблемы (недостатки и ограничения) деятельности, выявляет возможные причины их возникновения, в том числе рассматривает возможность их решения посредством проведения реинжиниринга бизнес-процессов и применения информационно-коммуникационных технологий в отраслях (сферах) государственного управления;</w:t>
      </w:r>
    </w:p>
    <w:bookmarkEnd w:id="66"/>
    <w:bookmarkStart w:name="z73" w:id="67"/>
    <w:p>
      <w:pPr>
        <w:spacing w:after="0"/>
        <w:ind w:left="0"/>
        <w:jc w:val="both"/>
      </w:pPr>
      <w:r>
        <w:rPr>
          <w:rFonts w:ascii="Times New Roman"/>
          <w:b w:val="false"/>
          <w:i w:val="false"/>
          <w:color w:val="000000"/>
          <w:sz w:val="28"/>
        </w:rPr>
        <w:t xml:space="preserve">
      3) на архитектурном портале обеспечивает формирование и ведение ГО электронного реестра бизнес-процессов, реинжиниринг которых осуществляется согласно Правилам цифровой трансформации, утверждаемым в соответствии с </w:t>
      </w:r>
      <w:r>
        <w:rPr>
          <w:rFonts w:ascii="Times New Roman"/>
          <w:b w:val="false"/>
          <w:i w:val="false"/>
          <w:color w:val="000000"/>
          <w:sz w:val="28"/>
        </w:rPr>
        <w:t>подпунктом 361-1)</w:t>
      </w:r>
      <w:r>
        <w:rPr>
          <w:rFonts w:ascii="Times New Roman"/>
          <w:b w:val="false"/>
          <w:i w:val="false"/>
          <w:color w:val="000000"/>
          <w:sz w:val="28"/>
        </w:rPr>
        <w:t xml:space="preserve"> пункта 15 Положения о Министерстве.</w:t>
      </w:r>
    </w:p>
    <w:bookmarkEnd w:id="67"/>
    <w:bookmarkStart w:name="z74" w:id="68"/>
    <w:p>
      <w:pPr>
        <w:spacing w:after="0"/>
        <w:ind w:left="0"/>
        <w:jc w:val="both"/>
      </w:pPr>
      <w:r>
        <w:rPr>
          <w:rFonts w:ascii="Times New Roman"/>
          <w:b w:val="false"/>
          <w:i w:val="false"/>
          <w:color w:val="000000"/>
          <w:sz w:val="28"/>
        </w:rPr>
        <w:t>
      15. В рамках формирования целевой архитектуры "электронного правительства" сервисный интегратор "электронного правительства":</w:t>
      </w:r>
    </w:p>
    <w:bookmarkEnd w:id="68"/>
    <w:bookmarkStart w:name="z75" w:id="69"/>
    <w:p>
      <w:pPr>
        <w:spacing w:after="0"/>
        <w:ind w:left="0"/>
        <w:jc w:val="both"/>
      </w:pPr>
      <w:r>
        <w:rPr>
          <w:rFonts w:ascii="Times New Roman"/>
          <w:b w:val="false"/>
          <w:i w:val="false"/>
          <w:color w:val="000000"/>
          <w:sz w:val="28"/>
        </w:rPr>
        <w:t>
      1) описывает целевое состояние бизнес-процессов государственного управления в регулируемых сферах (отраслях);</w:t>
      </w:r>
    </w:p>
    <w:bookmarkEnd w:id="69"/>
    <w:bookmarkStart w:name="z76" w:id="70"/>
    <w:p>
      <w:pPr>
        <w:spacing w:after="0"/>
        <w:ind w:left="0"/>
        <w:jc w:val="both"/>
      </w:pPr>
      <w:r>
        <w:rPr>
          <w:rFonts w:ascii="Times New Roman"/>
          <w:b w:val="false"/>
          <w:i w:val="false"/>
          <w:color w:val="000000"/>
          <w:sz w:val="28"/>
        </w:rPr>
        <w:t>
      2) определяет эталонные данные на основе паспортов данных, размещенных на архитектурном портале в соответствии с требованиями по управлению данными;</w:t>
      </w:r>
    </w:p>
    <w:bookmarkEnd w:id="70"/>
    <w:bookmarkStart w:name="z77" w:id="71"/>
    <w:p>
      <w:pPr>
        <w:spacing w:after="0"/>
        <w:ind w:left="0"/>
        <w:jc w:val="both"/>
      </w:pPr>
      <w:r>
        <w:rPr>
          <w:rFonts w:ascii="Times New Roman"/>
          <w:b w:val="false"/>
          <w:i w:val="false"/>
          <w:color w:val="000000"/>
          <w:sz w:val="28"/>
        </w:rPr>
        <w:t>
      3) формирует модель информационных систем;</w:t>
      </w:r>
    </w:p>
    <w:bookmarkEnd w:id="71"/>
    <w:bookmarkStart w:name="z78" w:id="72"/>
    <w:p>
      <w:pPr>
        <w:spacing w:after="0"/>
        <w:ind w:left="0"/>
        <w:jc w:val="both"/>
      </w:pPr>
      <w:r>
        <w:rPr>
          <w:rFonts w:ascii="Times New Roman"/>
          <w:b w:val="false"/>
          <w:i w:val="false"/>
          <w:color w:val="000000"/>
          <w:sz w:val="28"/>
        </w:rPr>
        <w:t>
      4) формирует модель информационно-коммуникационной инфраструктуры;</w:t>
      </w:r>
    </w:p>
    <w:bookmarkEnd w:id="72"/>
    <w:bookmarkStart w:name="z79" w:id="73"/>
    <w:p>
      <w:pPr>
        <w:spacing w:after="0"/>
        <w:ind w:left="0"/>
        <w:jc w:val="both"/>
      </w:pPr>
      <w:r>
        <w:rPr>
          <w:rFonts w:ascii="Times New Roman"/>
          <w:b w:val="false"/>
          <w:i w:val="false"/>
          <w:color w:val="000000"/>
          <w:sz w:val="28"/>
        </w:rPr>
        <w:t>
      5) формирует перечень открытого программного обеспечения и информационно-коммуникационных технологий (перечень руководств (набор спецификаций), используемых при создании и развитии объектов информатизации "электронного правительства";</w:t>
      </w:r>
    </w:p>
    <w:bookmarkEnd w:id="73"/>
    <w:bookmarkStart w:name="z80" w:id="74"/>
    <w:p>
      <w:pPr>
        <w:spacing w:after="0"/>
        <w:ind w:left="0"/>
        <w:jc w:val="both"/>
      </w:pPr>
      <w:r>
        <w:rPr>
          <w:rFonts w:ascii="Times New Roman"/>
          <w:b w:val="false"/>
          <w:i w:val="false"/>
          <w:color w:val="000000"/>
          <w:sz w:val="28"/>
        </w:rPr>
        <w:t>
      6) формирует и приоритезирует перечень инициатив по созданию, развитию, приобретению объектов информатизации "электронного правительства" и информационно-коммуникационных услуг, по разработке платформенных программных продуктов в соответствующих доменах деятельности, рекомендации по выводу из эксплуатации, замене, постановке на баланс, миграции на ИКП ЭП, учету и актуализации сведений об объектах информатизации "электронного правительства", платформенных программных продуктах на архитектурном портале, в том числе списанию объектов информатизации.</w:t>
      </w:r>
    </w:p>
    <w:bookmarkEnd w:id="74"/>
    <w:bookmarkStart w:name="z81" w:id="75"/>
    <w:p>
      <w:pPr>
        <w:spacing w:after="0"/>
        <w:ind w:left="0"/>
        <w:jc w:val="both"/>
      </w:pPr>
      <w:r>
        <w:rPr>
          <w:rFonts w:ascii="Times New Roman"/>
          <w:b w:val="false"/>
          <w:i w:val="false"/>
          <w:color w:val="000000"/>
          <w:sz w:val="28"/>
        </w:rPr>
        <w:t>
      16. Сервисный интегратор "электронного правительства" в рамках разработки каждого слоя архитектуры "электронного правительства":</w:t>
      </w:r>
    </w:p>
    <w:bookmarkEnd w:id="75"/>
    <w:bookmarkStart w:name="z82" w:id="76"/>
    <w:p>
      <w:pPr>
        <w:spacing w:after="0"/>
        <w:ind w:left="0"/>
        <w:jc w:val="both"/>
      </w:pPr>
      <w:r>
        <w:rPr>
          <w:rFonts w:ascii="Times New Roman"/>
          <w:b w:val="false"/>
          <w:i w:val="false"/>
          <w:color w:val="000000"/>
          <w:sz w:val="28"/>
        </w:rPr>
        <w:t>
      1) обеспечивает сопоставление моделей архитектуры "электронного правительства" для выявления компонентов архитектуры "электронного правительства", в отношении которых отсутствуют рекомендации;</w:t>
      </w:r>
    </w:p>
    <w:bookmarkEnd w:id="76"/>
    <w:bookmarkStart w:name="z83" w:id="77"/>
    <w:p>
      <w:pPr>
        <w:spacing w:after="0"/>
        <w:ind w:left="0"/>
        <w:jc w:val="both"/>
      </w:pPr>
      <w:r>
        <w:rPr>
          <w:rFonts w:ascii="Times New Roman"/>
          <w:b w:val="false"/>
          <w:i w:val="false"/>
          <w:color w:val="000000"/>
          <w:sz w:val="28"/>
        </w:rPr>
        <w:t>
      2) обеспечивает проверку полноты, целостности и эффективности архитектуры "электронного правительства" в целях определения пересечений и конфликтов между компонентами архитектуры "электронного правительства", в том числе упущенных и избыточных компонентов архитектуры "электронного правительства";</w:t>
      </w:r>
    </w:p>
    <w:bookmarkEnd w:id="77"/>
    <w:bookmarkStart w:name="z84" w:id="78"/>
    <w:p>
      <w:pPr>
        <w:spacing w:after="0"/>
        <w:ind w:left="0"/>
        <w:jc w:val="both"/>
      </w:pPr>
      <w:r>
        <w:rPr>
          <w:rFonts w:ascii="Times New Roman"/>
          <w:b w:val="false"/>
          <w:i w:val="false"/>
          <w:color w:val="000000"/>
          <w:sz w:val="28"/>
        </w:rPr>
        <w:t>
      3) выявляет возможности для исключения дублирования объектов информатизации "электронного правительства", платформенных программных продуктов и создания возможностей для совместного и повторного использования объектов информатизации "электронного правительства", платформенных программных продуктов в отраслях (сферах) государственного управления и на межведомственном уровне.</w:t>
      </w:r>
    </w:p>
    <w:bookmarkEnd w:id="78"/>
    <w:bookmarkStart w:name="z85" w:id="79"/>
    <w:p>
      <w:pPr>
        <w:spacing w:after="0"/>
        <w:ind w:left="0"/>
        <w:jc w:val="both"/>
      </w:pPr>
      <w:r>
        <w:rPr>
          <w:rFonts w:ascii="Times New Roman"/>
          <w:b w:val="false"/>
          <w:i w:val="false"/>
          <w:color w:val="000000"/>
          <w:sz w:val="28"/>
        </w:rPr>
        <w:t>
      17. По завершении работ по всем слоям архитектуры "электронного правительства" результаты работ оформляются сервисным интегратором "электронного правительства" в цифровой форме в соответствии с его методологическим обеспечением и предоставляется уполномоченному органу для согласования.</w:t>
      </w:r>
    </w:p>
    <w:bookmarkEnd w:id="79"/>
    <w:bookmarkStart w:name="z86" w:id="80"/>
    <w:p>
      <w:pPr>
        <w:spacing w:after="0"/>
        <w:ind w:left="0"/>
        <w:jc w:val="both"/>
      </w:pPr>
      <w:r>
        <w:rPr>
          <w:rFonts w:ascii="Times New Roman"/>
          <w:b w:val="false"/>
          <w:i w:val="false"/>
          <w:color w:val="000000"/>
          <w:sz w:val="28"/>
        </w:rPr>
        <w:t xml:space="preserve">
      Уполномоченный орган не позднее 10 (десять) рабочих дней со дня получения проекта архитектуры "электронного правительства" согласовывает, в случае наличия аргументированных замечаний и предложений отказывает в согласовании. </w:t>
      </w:r>
    </w:p>
    <w:bookmarkEnd w:id="80"/>
    <w:bookmarkStart w:name="z87" w:id="81"/>
    <w:p>
      <w:pPr>
        <w:spacing w:after="0"/>
        <w:ind w:left="0"/>
        <w:jc w:val="both"/>
      </w:pPr>
      <w:r>
        <w:rPr>
          <w:rFonts w:ascii="Times New Roman"/>
          <w:b w:val="false"/>
          <w:i w:val="false"/>
          <w:color w:val="000000"/>
          <w:sz w:val="28"/>
        </w:rPr>
        <w:t>
      Сервисный интегратор "электронного правительства" по замечаниям и предложениям уполномоченного органа дорабатывает и вносит необходимые изменения в проект архитектуры "электронного правительства".</w:t>
      </w:r>
    </w:p>
    <w:bookmarkEnd w:id="81"/>
    <w:bookmarkStart w:name="z88" w:id="82"/>
    <w:p>
      <w:pPr>
        <w:spacing w:after="0"/>
        <w:ind w:left="0"/>
        <w:jc w:val="both"/>
      </w:pPr>
      <w:r>
        <w:rPr>
          <w:rFonts w:ascii="Times New Roman"/>
          <w:b w:val="false"/>
          <w:i w:val="false"/>
          <w:color w:val="000000"/>
          <w:sz w:val="28"/>
        </w:rPr>
        <w:t>
      Доработанная архитектура "электронного правительства" размещается в цифровой форме на архитектурном портале.</w:t>
      </w:r>
    </w:p>
    <w:bookmarkEnd w:id="82"/>
    <w:bookmarkStart w:name="z89" w:id="83"/>
    <w:p>
      <w:pPr>
        <w:spacing w:after="0"/>
        <w:ind w:left="0"/>
        <w:jc w:val="both"/>
      </w:pPr>
      <w:r>
        <w:rPr>
          <w:rFonts w:ascii="Times New Roman"/>
          <w:b w:val="false"/>
          <w:i w:val="false"/>
          <w:color w:val="000000"/>
          <w:sz w:val="28"/>
        </w:rPr>
        <w:t>
      18. Сервисный интегратор "электронного правительства" при формировании архитектуры "электронного правительства" обеспечивает соблюдение законодательства в сфере информатизации.</w:t>
      </w:r>
    </w:p>
    <w:bookmarkEnd w:id="83"/>
    <w:bookmarkStart w:name="z90" w:id="84"/>
    <w:p>
      <w:pPr>
        <w:spacing w:after="0"/>
        <w:ind w:left="0"/>
        <w:jc w:val="both"/>
      </w:pPr>
      <w:r>
        <w:rPr>
          <w:rFonts w:ascii="Times New Roman"/>
          <w:b w:val="false"/>
          <w:i w:val="false"/>
          <w:color w:val="000000"/>
          <w:sz w:val="28"/>
        </w:rPr>
        <w:t>
      19. ГО на основании сформированной архитектуры "электронного правительства" вносит изменения в карту цифровой трансформации ГО и документы Системы государственного планирования шестого уровня с целью отражения в них целевых ИКТ-проектов архитектуры "электронного правительства", мер и мероприятий по реализации архитектуры "электронного правительства", направленных на достижение целей и задач определенные в отраслях (сферах) государственного управления.</w:t>
      </w:r>
    </w:p>
    <w:bookmarkEnd w:id="84"/>
    <w:bookmarkStart w:name="z91" w:id="85"/>
    <w:p>
      <w:pPr>
        <w:spacing w:after="0"/>
        <w:ind w:left="0"/>
        <w:jc w:val="both"/>
      </w:pPr>
      <w:r>
        <w:rPr>
          <w:rFonts w:ascii="Times New Roman"/>
          <w:b w:val="false"/>
          <w:i w:val="false"/>
          <w:color w:val="000000"/>
          <w:sz w:val="28"/>
        </w:rPr>
        <w:t>
      20. На основе сведений, собранных и проанализированных при описании стратегических целей, целевых индикаторов, задач, показателей, сервисным интегратором "электронного правительства" формируется перечень доменов государственного управления с указанием направлений деятельности и государственными органами - участниками, входящими в домен.</w:t>
      </w:r>
    </w:p>
    <w:bookmarkEnd w:id="85"/>
    <w:bookmarkStart w:name="z92" w:id="86"/>
    <w:p>
      <w:pPr>
        <w:spacing w:after="0"/>
        <w:ind w:left="0"/>
        <w:jc w:val="both"/>
      </w:pPr>
      <w:r>
        <w:rPr>
          <w:rFonts w:ascii="Times New Roman"/>
          <w:b w:val="false"/>
          <w:i w:val="false"/>
          <w:color w:val="000000"/>
          <w:sz w:val="28"/>
        </w:rPr>
        <w:t>
      Участниками одного домена могут являться несколько государственных органов. При этом, один государственный орган может входить в один или несколько доменов деятельности "электронного правительства".</w:t>
      </w:r>
    </w:p>
    <w:bookmarkEnd w:id="86"/>
    <w:bookmarkStart w:name="z93" w:id="87"/>
    <w:p>
      <w:pPr>
        <w:spacing w:after="0"/>
        <w:ind w:left="0"/>
        <w:jc w:val="both"/>
      </w:pPr>
      <w:r>
        <w:rPr>
          <w:rFonts w:ascii="Times New Roman"/>
          <w:b w:val="false"/>
          <w:i w:val="false"/>
          <w:color w:val="000000"/>
          <w:sz w:val="28"/>
        </w:rPr>
        <w:t>
      21. Сервисный интегратор, в целях описания слоя данных архитектуры "электронного правительства", для каждого домена определяет набор основных мастер данных, регулирующих отрасль, посредством выявления субъектов и объектов данных с описанием базовых атрибутов.</w:t>
      </w:r>
    </w:p>
    <w:bookmarkEnd w:id="87"/>
    <w:bookmarkStart w:name="z94" w:id="88"/>
    <w:p>
      <w:pPr>
        <w:spacing w:after="0"/>
        <w:ind w:left="0"/>
        <w:jc w:val="both"/>
      </w:pPr>
      <w:r>
        <w:rPr>
          <w:rFonts w:ascii="Times New Roman"/>
          <w:b w:val="false"/>
          <w:i w:val="false"/>
          <w:color w:val="000000"/>
          <w:sz w:val="28"/>
        </w:rPr>
        <w:t>
      На основе анализа нормативных правовых актов, регулирующих отрасль государственного управления, для каждого субъекта и объекта данных выявляются типы, для каждого типа определяется свой уникальный набор атрибутов.</w:t>
      </w:r>
    </w:p>
    <w:bookmarkEnd w:id="88"/>
    <w:bookmarkStart w:name="z95" w:id="89"/>
    <w:p>
      <w:pPr>
        <w:spacing w:after="0"/>
        <w:ind w:left="0"/>
        <w:jc w:val="both"/>
      </w:pPr>
      <w:r>
        <w:rPr>
          <w:rFonts w:ascii="Times New Roman"/>
          <w:b w:val="false"/>
          <w:i w:val="false"/>
          <w:color w:val="000000"/>
          <w:sz w:val="28"/>
        </w:rPr>
        <w:t>
      Описание субъектов, объектов данных, их типов и атрибутов формируется на архитектурном портале. При этом, типы наследуют базовый набор атрибутов субъектов и объектов данных.</w:t>
      </w:r>
    </w:p>
    <w:bookmarkEnd w:id="89"/>
    <w:bookmarkStart w:name="z96" w:id="90"/>
    <w:p>
      <w:pPr>
        <w:spacing w:after="0"/>
        <w:ind w:left="0"/>
        <w:jc w:val="both"/>
      </w:pPr>
      <w:r>
        <w:rPr>
          <w:rFonts w:ascii="Times New Roman"/>
          <w:b w:val="false"/>
          <w:i w:val="false"/>
          <w:color w:val="000000"/>
          <w:sz w:val="28"/>
        </w:rPr>
        <w:t>
      22. Сервисный интегратор на основе анализа существующих объектов информатизации "электронного правительства", платформенных программных продуктов, размещенных на архитектурном портале "электронного правительства", для каждого атрибута выявляет эталонные данные и источник хранения данных. Таким образом, сервисным интегратором определяется уровень цифровизации основных данных "электронного правительства".</w:t>
      </w:r>
    </w:p>
    <w:bookmarkEnd w:id="90"/>
    <w:bookmarkStart w:name="z97" w:id="91"/>
    <w:p>
      <w:pPr>
        <w:spacing w:after="0"/>
        <w:ind w:left="0"/>
        <w:jc w:val="both"/>
      </w:pPr>
      <w:r>
        <w:rPr>
          <w:rFonts w:ascii="Times New Roman"/>
          <w:b w:val="false"/>
          <w:i w:val="false"/>
          <w:color w:val="000000"/>
          <w:sz w:val="28"/>
        </w:rPr>
        <w:t>
      23. С учетом формирования связей между типами формируется концептуальная модель данных "электронного правительства" и цифровые профили ключевых клиентов домена (отраслей государственного управления), которые будут содержать в себе описания видов данных, отображаемых из различных эталонных баз данных организаций.</w:t>
      </w:r>
    </w:p>
    <w:bookmarkEnd w:id="91"/>
    <w:bookmarkStart w:name="z98" w:id="92"/>
    <w:p>
      <w:pPr>
        <w:spacing w:after="0"/>
        <w:ind w:left="0"/>
        <w:jc w:val="both"/>
      </w:pPr>
      <w:r>
        <w:rPr>
          <w:rFonts w:ascii="Times New Roman"/>
          <w:b w:val="false"/>
          <w:i w:val="false"/>
          <w:color w:val="000000"/>
          <w:sz w:val="28"/>
        </w:rPr>
        <w:t>
      24. Построение целевой архитектуры "электронного правительства" на базе доменной модели основано на следующих принципах:</w:t>
      </w:r>
    </w:p>
    <w:bookmarkEnd w:id="92"/>
    <w:bookmarkStart w:name="z99" w:id="93"/>
    <w:p>
      <w:pPr>
        <w:spacing w:after="0"/>
        <w:ind w:left="0"/>
        <w:jc w:val="both"/>
      </w:pPr>
      <w:r>
        <w:rPr>
          <w:rFonts w:ascii="Times New Roman"/>
          <w:b w:val="false"/>
          <w:i w:val="false"/>
          <w:color w:val="000000"/>
          <w:sz w:val="28"/>
        </w:rPr>
        <w:t>
      1) построение архитектуры "электронного правительства" на базе клиентоориентированных процессов, направленных на удовлетворение потребностей граждан и организаций;</w:t>
      </w:r>
    </w:p>
    <w:bookmarkEnd w:id="93"/>
    <w:bookmarkStart w:name="z100" w:id="94"/>
    <w:p>
      <w:pPr>
        <w:spacing w:after="0"/>
        <w:ind w:left="0"/>
        <w:jc w:val="both"/>
      </w:pPr>
      <w:r>
        <w:rPr>
          <w:rFonts w:ascii="Times New Roman"/>
          <w:b w:val="false"/>
          <w:i w:val="false"/>
          <w:color w:val="000000"/>
          <w:sz w:val="28"/>
        </w:rPr>
        <w:t>
      2) устранение повтора основных данных в рамках нескольких органов власти, входящих в один домен;</w:t>
      </w:r>
    </w:p>
    <w:bookmarkEnd w:id="94"/>
    <w:bookmarkStart w:name="z101" w:id="95"/>
    <w:p>
      <w:pPr>
        <w:spacing w:after="0"/>
        <w:ind w:left="0"/>
        <w:jc w:val="both"/>
      </w:pPr>
      <w:r>
        <w:rPr>
          <w:rFonts w:ascii="Times New Roman"/>
          <w:b w:val="false"/>
          <w:i w:val="false"/>
          <w:color w:val="000000"/>
          <w:sz w:val="28"/>
        </w:rPr>
        <w:t>
      3) перевод основных (мастер) данных "электронного правительства" в цифровой формат.</w:t>
      </w:r>
    </w:p>
    <w:bookmarkEnd w:id="95"/>
    <w:bookmarkStart w:name="z102" w:id="96"/>
    <w:p>
      <w:pPr>
        <w:spacing w:after="0"/>
        <w:ind w:left="0"/>
        <w:jc w:val="left"/>
      </w:pPr>
      <w:r>
        <w:rPr>
          <w:rFonts w:ascii="Times New Roman"/>
          <w:b/>
          <w:i w:val="false"/>
          <w:color w:val="000000"/>
        </w:rPr>
        <w:t xml:space="preserve"> Глава 3. Мониторинг реализации архитектуры "электронного правительства"</w:t>
      </w:r>
    </w:p>
    <w:bookmarkEnd w:id="96"/>
    <w:bookmarkStart w:name="z103" w:id="97"/>
    <w:p>
      <w:pPr>
        <w:spacing w:after="0"/>
        <w:ind w:left="0"/>
        <w:jc w:val="left"/>
      </w:pPr>
      <w:r>
        <w:rPr>
          <w:rFonts w:ascii="Times New Roman"/>
          <w:b/>
          <w:i w:val="false"/>
          <w:color w:val="000000"/>
        </w:rPr>
        <w:t xml:space="preserve"> Параграф 1. Реализация архитектуры "электронного правительства"</w:t>
      </w:r>
    </w:p>
    <w:bookmarkEnd w:id="97"/>
    <w:bookmarkStart w:name="z104" w:id="98"/>
    <w:p>
      <w:pPr>
        <w:spacing w:after="0"/>
        <w:ind w:left="0"/>
        <w:jc w:val="both"/>
      </w:pPr>
      <w:r>
        <w:rPr>
          <w:rFonts w:ascii="Times New Roman"/>
          <w:b w:val="false"/>
          <w:i w:val="false"/>
          <w:color w:val="000000"/>
          <w:sz w:val="28"/>
        </w:rPr>
        <w:t xml:space="preserve">
      25. ГО обеспечивает реализацию архитектуры "электронного правительства" в соответствии с подпунктом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98"/>
    <w:bookmarkStart w:name="z105" w:id="99"/>
    <w:p>
      <w:pPr>
        <w:spacing w:after="0"/>
        <w:ind w:left="0"/>
        <w:jc w:val="both"/>
      </w:pPr>
      <w:r>
        <w:rPr>
          <w:rFonts w:ascii="Times New Roman"/>
          <w:b w:val="false"/>
          <w:i w:val="false"/>
          <w:color w:val="000000"/>
          <w:sz w:val="28"/>
        </w:rPr>
        <w:t>
      Автоматизация деятельности ГО, в том числе государственных функций и оказания вытекающих из них государственных услуг,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 информационно-коммуникационных услуг, платформенных программных продуктов в соответствии с утвержденной архитектурой "электронного правительства" и с учетом проведенного реинжиниринга.  </w:t>
      </w:r>
    </w:p>
    <w:bookmarkEnd w:id="99"/>
    <w:bookmarkStart w:name="z106" w:id="100"/>
    <w:p>
      <w:pPr>
        <w:spacing w:after="0"/>
        <w:ind w:left="0"/>
        <w:jc w:val="both"/>
      </w:pPr>
      <w:r>
        <w:rPr>
          <w:rFonts w:ascii="Times New Roman"/>
          <w:b w:val="false"/>
          <w:i w:val="false"/>
          <w:color w:val="000000"/>
          <w:sz w:val="28"/>
        </w:rPr>
        <w:t>
      26. ГО обеспечивают реализацию архитектуры "электронного правительства", посредством исполнения мероприятий карты цифровой трансформации ГО и документов Системы государственного планирования шестого уровня, в том числе, через реализацию ИКТ-проектов, рекомендаций по выводу из эксплуатации, постановке на баланс, миграции на ИКП ЭП, учету и актуализации сведений об объектах информатизации "электронного правительства", о платформенных программных продуктах, в том числе по списанию объектов информатизации, платформенных программных продуктов.</w:t>
      </w:r>
    </w:p>
    <w:bookmarkEnd w:id="100"/>
    <w:bookmarkStart w:name="z107" w:id="101"/>
    <w:p>
      <w:pPr>
        <w:spacing w:after="0"/>
        <w:ind w:left="0"/>
        <w:jc w:val="both"/>
      </w:pPr>
      <w:r>
        <w:rPr>
          <w:rFonts w:ascii="Times New Roman"/>
          <w:b w:val="false"/>
          <w:i w:val="false"/>
          <w:color w:val="000000"/>
          <w:sz w:val="28"/>
        </w:rPr>
        <w:t xml:space="preserve">
      27. ГО осуществляют реализацию ИКТ-проектов, определенных архитектурой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развития, эксплуатации, приобретения объектов информатизации "электронного правительства", а также информационно-коммуникационных услуг, утвержденных приказом исполняющего обязанности Министра по инвестициям и развитию Республики Казахстан от 28 января 2016 года № 129 (зарегистрирован в Реестре государственной регистрации нормативных правовых актов за № 13282) (далее - Правила осуществления проектного управления).</w:t>
      </w:r>
    </w:p>
    <w:bookmarkEnd w:id="101"/>
    <w:bookmarkStart w:name="z108" w:id="102"/>
    <w:p>
      <w:pPr>
        <w:spacing w:after="0"/>
        <w:ind w:left="0"/>
        <w:jc w:val="both"/>
      </w:pPr>
      <w:r>
        <w:rPr>
          <w:rFonts w:ascii="Times New Roman"/>
          <w:b w:val="false"/>
          <w:i w:val="false"/>
          <w:color w:val="000000"/>
          <w:sz w:val="28"/>
        </w:rPr>
        <w:t>
      28. В целях проведения достоверной и объективной оценки эффективности, результативности и рисков реализации архитектуры "электронного правительства" и отдельных ИКТ-проектов, ГО обеспечивают учет сведений об объектах информатизации "электронного правительства", платформенных программных продуктах на архитектурном портале в соответствии с настоящими Правилами.</w:t>
      </w:r>
    </w:p>
    <w:bookmarkEnd w:id="102"/>
    <w:bookmarkStart w:name="z109" w:id="103"/>
    <w:p>
      <w:pPr>
        <w:spacing w:after="0"/>
        <w:ind w:left="0"/>
        <w:jc w:val="left"/>
      </w:pPr>
      <w:r>
        <w:rPr>
          <w:rFonts w:ascii="Times New Roman"/>
          <w:b/>
          <w:i w:val="false"/>
          <w:color w:val="000000"/>
        </w:rPr>
        <w:t xml:space="preserve"> Параграф 2. Мониторинг реализации архитектуры "электронного правительства"</w:t>
      </w:r>
    </w:p>
    <w:bookmarkEnd w:id="103"/>
    <w:bookmarkStart w:name="z110" w:id="104"/>
    <w:p>
      <w:pPr>
        <w:spacing w:after="0"/>
        <w:ind w:left="0"/>
        <w:jc w:val="both"/>
      </w:pPr>
      <w:r>
        <w:rPr>
          <w:rFonts w:ascii="Times New Roman"/>
          <w:b w:val="false"/>
          <w:i w:val="false"/>
          <w:color w:val="000000"/>
          <w:sz w:val="28"/>
        </w:rPr>
        <w:t>
      29. Мониторинг реализации архитектуры "электронного правительства" осуществляется на постоянной основе в целях выявления, согласования и обоснования изменений требований к создаваемым и развиваемым объектам информатизации "электронного правительства", к разрабатываемым платформенным программным продуктам в архитектуре "электронного правительств" на архитектурном портале.</w:t>
      </w:r>
    </w:p>
    <w:bookmarkEnd w:id="104"/>
    <w:bookmarkStart w:name="z111" w:id="105"/>
    <w:p>
      <w:pPr>
        <w:spacing w:after="0"/>
        <w:ind w:left="0"/>
        <w:jc w:val="both"/>
      </w:pPr>
      <w:r>
        <w:rPr>
          <w:rFonts w:ascii="Times New Roman"/>
          <w:b w:val="false"/>
          <w:i w:val="false"/>
          <w:color w:val="000000"/>
          <w:sz w:val="28"/>
        </w:rPr>
        <w:t>
      30. В рамках мониторинга реализации архитектуры "электронного правительства" сервисный интегратор на архитектурном портале:</w:t>
      </w:r>
    </w:p>
    <w:bookmarkEnd w:id="105"/>
    <w:bookmarkStart w:name="z112" w:id="106"/>
    <w:p>
      <w:pPr>
        <w:spacing w:after="0"/>
        <w:ind w:left="0"/>
        <w:jc w:val="both"/>
      </w:pPr>
      <w:r>
        <w:rPr>
          <w:rFonts w:ascii="Times New Roman"/>
          <w:b w:val="false"/>
          <w:i w:val="false"/>
          <w:color w:val="000000"/>
          <w:sz w:val="28"/>
        </w:rPr>
        <w:t>
      1) проводит оценку соответствия хода реализации ИКТ-проектов положениям и рекомендациям архитектуры "электронного правительства";</w:t>
      </w:r>
    </w:p>
    <w:bookmarkEnd w:id="106"/>
    <w:bookmarkStart w:name="z113" w:id="107"/>
    <w:p>
      <w:pPr>
        <w:spacing w:after="0"/>
        <w:ind w:left="0"/>
        <w:jc w:val="both"/>
      </w:pPr>
      <w:r>
        <w:rPr>
          <w:rFonts w:ascii="Times New Roman"/>
          <w:b w:val="false"/>
          <w:i w:val="false"/>
          <w:color w:val="000000"/>
          <w:sz w:val="28"/>
        </w:rPr>
        <w:t>
      2) обеспечивает консультационную и методологическую поддержку по вопросам архитектуры "электронного правительства";</w:t>
      </w:r>
    </w:p>
    <w:bookmarkEnd w:id="107"/>
    <w:bookmarkStart w:name="z114" w:id="108"/>
    <w:p>
      <w:pPr>
        <w:spacing w:after="0"/>
        <w:ind w:left="0"/>
        <w:jc w:val="both"/>
      </w:pPr>
      <w:r>
        <w:rPr>
          <w:rFonts w:ascii="Times New Roman"/>
          <w:b w:val="false"/>
          <w:i w:val="false"/>
          <w:color w:val="000000"/>
          <w:sz w:val="28"/>
        </w:rPr>
        <w:t>
      3) определяет необходимость и уровень масштаба изменений в архитектуру "электронного правительства";</w:t>
      </w:r>
    </w:p>
    <w:bookmarkEnd w:id="108"/>
    <w:bookmarkStart w:name="z115" w:id="109"/>
    <w:p>
      <w:pPr>
        <w:spacing w:after="0"/>
        <w:ind w:left="0"/>
        <w:jc w:val="both"/>
      </w:pPr>
      <w:r>
        <w:rPr>
          <w:rFonts w:ascii="Times New Roman"/>
          <w:b w:val="false"/>
          <w:i w:val="false"/>
          <w:color w:val="000000"/>
          <w:sz w:val="28"/>
        </w:rPr>
        <w:t>
      4) формирует рекомендации для ГО и уполномоченного органа по исключению несоответствий, реализуемых ИКТ-проектов и мероприятий, положениям архитектуры "электронного правительства";</w:t>
      </w:r>
    </w:p>
    <w:bookmarkEnd w:id="109"/>
    <w:bookmarkStart w:name="z116" w:id="110"/>
    <w:p>
      <w:pPr>
        <w:spacing w:after="0"/>
        <w:ind w:left="0"/>
        <w:jc w:val="both"/>
      </w:pPr>
      <w:r>
        <w:rPr>
          <w:rFonts w:ascii="Times New Roman"/>
          <w:b w:val="false"/>
          <w:i w:val="false"/>
          <w:color w:val="000000"/>
          <w:sz w:val="28"/>
        </w:rPr>
        <w:t xml:space="preserve">
      5) проводит корректировку архитектуры "электронного правительства" по итогам проведенного мониторинга реализации архитектуры "электронного правительства"; </w:t>
      </w:r>
    </w:p>
    <w:bookmarkEnd w:id="110"/>
    <w:bookmarkStart w:name="z117" w:id="111"/>
    <w:p>
      <w:pPr>
        <w:spacing w:after="0"/>
        <w:ind w:left="0"/>
        <w:jc w:val="both"/>
      </w:pPr>
      <w:r>
        <w:rPr>
          <w:rFonts w:ascii="Times New Roman"/>
          <w:b w:val="false"/>
          <w:i w:val="false"/>
          <w:color w:val="000000"/>
          <w:sz w:val="28"/>
        </w:rPr>
        <w:t>
      6) проводит проверку описания субъектов, объектов данных, а также их типов и атрибутов на основании анализа нормативных правовых актов, регулирующих отрасль государственного управления.</w:t>
      </w:r>
    </w:p>
    <w:bookmarkEnd w:id="111"/>
    <w:bookmarkStart w:name="z118" w:id="112"/>
    <w:p>
      <w:pPr>
        <w:spacing w:after="0"/>
        <w:ind w:left="0"/>
        <w:jc w:val="both"/>
      </w:pPr>
      <w:r>
        <w:rPr>
          <w:rFonts w:ascii="Times New Roman"/>
          <w:b w:val="false"/>
          <w:i w:val="false"/>
          <w:color w:val="000000"/>
          <w:sz w:val="28"/>
        </w:rPr>
        <w:t>
      Мониторинг хода реализации архитектуры "электронного правительства" осуществляется сервисным интегратором "электронного правительства" и включает в себя работы по оценке соответствия архитектуре "электронного правительства".</w:t>
      </w:r>
    </w:p>
    <w:bookmarkEnd w:id="112"/>
    <w:bookmarkStart w:name="z119" w:id="113"/>
    <w:p>
      <w:pPr>
        <w:spacing w:after="0"/>
        <w:ind w:left="0"/>
        <w:jc w:val="both"/>
      </w:pPr>
      <w:r>
        <w:rPr>
          <w:rFonts w:ascii="Times New Roman"/>
          <w:b w:val="false"/>
          <w:i w:val="false"/>
          <w:color w:val="000000"/>
          <w:sz w:val="28"/>
        </w:rPr>
        <w:t>
      31. Оценка соответствия архитектуре "электронного правительства" выявляет несоответствия ИКТ-проектов требованиям архитектуры "электронного правительства", на этапах:</w:t>
      </w:r>
    </w:p>
    <w:bookmarkEnd w:id="113"/>
    <w:bookmarkStart w:name="z120" w:id="114"/>
    <w:p>
      <w:pPr>
        <w:spacing w:after="0"/>
        <w:ind w:left="0"/>
        <w:jc w:val="both"/>
      </w:pPr>
      <w:r>
        <w:rPr>
          <w:rFonts w:ascii="Times New Roman"/>
          <w:b w:val="false"/>
          <w:i w:val="false"/>
          <w:color w:val="000000"/>
          <w:sz w:val="28"/>
        </w:rPr>
        <w:t>
      1) планирования ИКТ-проекта;</w:t>
      </w:r>
    </w:p>
    <w:bookmarkEnd w:id="114"/>
    <w:bookmarkStart w:name="z121" w:id="115"/>
    <w:p>
      <w:pPr>
        <w:spacing w:after="0"/>
        <w:ind w:left="0"/>
        <w:jc w:val="both"/>
      </w:pPr>
      <w:r>
        <w:rPr>
          <w:rFonts w:ascii="Times New Roman"/>
          <w:b w:val="false"/>
          <w:i w:val="false"/>
          <w:color w:val="000000"/>
          <w:sz w:val="28"/>
        </w:rPr>
        <w:t>
      2) реализации объектов информатизации "электронного правительства", платформенных программных продуктов в рамках ИКТ-проекта;</w:t>
      </w:r>
    </w:p>
    <w:bookmarkEnd w:id="115"/>
    <w:bookmarkStart w:name="z122" w:id="116"/>
    <w:p>
      <w:pPr>
        <w:spacing w:after="0"/>
        <w:ind w:left="0"/>
        <w:jc w:val="both"/>
      </w:pPr>
      <w:r>
        <w:rPr>
          <w:rFonts w:ascii="Times New Roman"/>
          <w:b w:val="false"/>
          <w:i w:val="false"/>
          <w:color w:val="000000"/>
          <w:sz w:val="28"/>
        </w:rPr>
        <w:t>
      3) эксплуатации созданных объектов информатизации "электронного правительства", разработанных платформенных программных продуктов в рамках ИКТ-проекта.</w:t>
      </w:r>
    </w:p>
    <w:bookmarkEnd w:id="116"/>
    <w:bookmarkStart w:name="z123" w:id="117"/>
    <w:p>
      <w:pPr>
        <w:spacing w:after="0"/>
        <w:ind w:left="0"/>
        <w:jc w:val="both"/>
      </w:pPr>
      <w:r>
        <w:rPr>
          <w:rFonts w:ascii="Times New Roman"/>
          <w:b w:val="false"/>
          <w:i w:val="false"/>
          <w:color w:val="000000"/>
          <w:sz w:val="28"/>
        </w:rPr>
        <w:t>
      32. Оценка соответствия архитектуры "электронного правительства" на этапе планирования ИКТ-проекта осуществляется путем:</w:t>
      </w:r>
    </w:p>
    <w:bookmarkEnd w:id="117"/>
    <w:bookmarkStart w:name="z124" w:id="118"/>
    <w:p>
      <w:pPr>
        <w:spacing w:after="0"/>
        <w:ind w:left="0"/>
        <w:jc w:val="both"/>
      </w:pPr>
      <w:r>
        <w:rPr>
          <w:rFonts w:ascii="Times New Roman"/>
          <w:b w:val="false"/>
          <w:i w:val="false"/>
          <w:color w:val="000000"/>
          <w:sz w:val="28"/>
        </w:rPr>
        <w:t xml:space="preserve">
      1) экспертизы технической документации, на соответствие с </w:t>
      </w:r>
      <w:r>
        <w:rPr>
          <w:rFonts w:ascii="Times New Roman"/>
          <w:b w:val="false"/>
          <w:i w:val="false"/>
          <w:color w:val="000000"/>
          <w:sz w:val="28"/>
        </w:rPr>
        <w:t>Правилами</w:t>
      </w:r>
      <w:r>
        <w:rPr>
          <w:rFonts w:ascii="Times New Roman"/>
          <w:b w:val="false"/>
          <w:i w:val="false"/>
          <w:color w:val="000000"/>
          <w:sz w:val="28"/>
        </w:rPr>
        <w:t xml:space="preserve"> составления и рассмотрения технических заданий на создание и развитие объектов информатизации "электронного правительства", утвержденных приказом Министра цифрового развития, инноваций и аэрокосмической промышленности Республики Казахстан от 29 июня 2019 года № 143/НҚ. (зарегистрирован в Реестре государственной регистрации нормативных правовых актов за № 18950) и утвержденной архитектуре "электронного правительства";</w:t>
      </w:r>
    </w:p>
    <w:bookmarkEnd w:id="118"/>
    <w:bookmarkStart w:name="z125" w:id="119"/>
    <w:p>
      <w:pPr>
        <w:spacing w:after="0"/>
        <w:ind w:left="0"/>
        <w:jc w:val="both"/>
      </w:pPr>
      <w:r>
        <w:rPr>
          <w:rFonts w:ascii="Times New Roman"/>
          <w:b w:val="false"/>
          <w:i w:val="false"/>
          <w:color w:val="000000"/>
          <w:sz w:val="28"/>
        </w:rPr>
        <w:t>
      2) экспертизы расчета расходов на государственные закупки товаров, работ и услуг в сфере информатизации.</w:t>
      </w:r>
    </w:p>
    <w:bookmarkEnd w:id="119"/>
    <w:bookmarkStart w:name="z126" w:id="120"/>
    <w:p>
      <w:pPr>
        <w:spacing w:after="0"/>
        <w:ind w:left="0"/>
        <w:jc w:val="both"/>
      </w:pPr>
      <w:r>
        <w:rPr>
          <w:rFonts w:ascii="Times New Roman"/>
          <w:b w:val="false"/>
          <w:i w:val="false"/>
          <w:color w:val="000000"/>
          <w:sz w:val="28"/>
        </w:rPr>
        <w:t>
      33. Оценка соответствия архитектуре "электронного правительства" на этапе реализации объектов информатизации "электронного правительства", платформенных программных продуктов ИКТ-проекта осуществляется путем:</w:t>
      </w:r>
    </w:p>
    <w:bookmarkEnd w:id="120"/>
    <w:bookmarkStart w:name="z127" w:id="121"/>
    <w:p>
      <w:pPr>
        <w:spacing w:after="0"/>
        <w:ind w:left="0"/>
        <w:jc w:val="both"/>
      </w:pPr>
      <w:r>
        <w:rPr>
          <w:rFonts w:ascii="Times New Roman"/>
          <w:b w:val="false"/>
          <w:i w:val="false"/>
          <w:color w:val="000000"/>
          <w:sz w:val="28"/>
        </w:rPr>
        <w:t>
      1) оценки планов государственных закупок ИКТ-проектов, технических спецификаций и фактов проведения государственных закупок на предмет соответствия приобретаемых объектов информатизации архитектуры "электронного правительства";</w:t>
      </w:r>
    </w:p>
    <w:bookmarkEnd w:id="121"/>
    <w:bookmarkStart w:name="z128" w:id="122"/>
    <w:p>
      <w:pPr>
        <w:spacing w:after="0"/>
        <w:ind w:left="0"/>
        <w:jc w:val="both"/>
      </w:pPr>
      <w:r>
        <w:rPr>
          <w:rFonts w:ascii="Times New Roman"/>
          <w:b w:val="false"/>
          <w:i w:val="false"/>
          <w:color w:val="000000"/>
          <w:sz w:val="28"/>
        </w:rPr>
        <w:t>
      2) оценки характеристик, состава и содержания результатов ИКТ-проектов на этапах ввода объектов информатизации в эксплуатацию;</w:t>
      </w:r>
    </w:p>
    <w:bookmarkEnd w:id="122"/>
    <w:bookmarkStart w:name="z129" w:id="123"/>
    <w:p>
      <w:pPr>
        <w:spacing w:after="0"/>
        <w:ind w:left="0"/>
        <w:jc w:val="both"/>
      </w:pPr>
      <w:r>
        <w:rPr>
          <w:rFonts w:ascii="Times New Roman"/>
          <w:b w:val="false"/>
          <w:i w:val="false"/>
          <w:color w:val="000000"/>
          <w:sz w:val="28"/>
        </w:rPr>
        <w:t>
      3) архитектурного контроля, в рамках которого решается целесообразность создания нового объекта информатизации в соответствии с архитектурой "электронного правительства", в том числе проверяется отсутствие дублирующих функций, компонентов, возможности переиспользования элементов объекта информатизации.</w:t>
      </w:r>
    </w:p>
    <w:bookmarkEnd w:id="123"/>
    <w:bookmarkStart w:name="z130" w:id="124"/>
    <w:p>
      <w:pPr>
        <w:spacing w:after="0"/>
        <w:ind w:left="0"/>
        <w:jc w:val="both"/>
      </w:pPr>
      <w:r>
        <w:rPr>
          <w:rFonts w:ascii="Times New Roman"/>
          <w:b w:val="false"/>
          <w:i w:val="false"/>
          <w:color w:val="000000"/>
          <w:sz w:val="28"/>
        </w:rPr>
        <w:t>
      Мероприятия в рамках мониторинга реализации архитектуры "электронного правительства" являются архитектурным контролем. Архитектурный контроль действует сквозным образом на всех этапах для того, чтобы избежать дублирования схожих, повторяющихся элементов доменов, в том числе компонентов, информационных систем, которые будут разрабатываться в процессе автоматизации домена.</w:t>
      </w:r>
    </w:p>
    <w:bookmarkEnd w:id="124"/>
    <w:bookmarkStart w:name="z131" w:id="125"/>
    <w:p>
      <w:pPr>
        <w:spacing w:after="0"/>
        <w:ind w:left="0"/>
        <w:jc w:val="both"/>
      </w:pPr>
      <w:r>
        <w:rPr>
          <w:rFonts w:ascii="Times New Roman"/>
          <w:b w:val="false"/>
          <w:i w:val="false"/>
          <w:color w:val="000000"/>
          <w:sz w:val="28"/>
        </w:rPr>
        <w:t>
      34. Оценка соответствия архитектуре "электронного правительства" на этапе эксплуатации, созданных объектов информатизации "электронного правительства", разработанных платформенных программных продуктов в рамках ИКТ-проекта осуществляется путем:</w:t>
      </w:r>
    </w:p>
    <w:bookmarkEnd w:id="125"/>
    <w:bookmarkStart w:name="z132" w:id="126"/>
    <w:p>
      <w:pPr>
        <w:spacing w:after="0"/>
        <w:ind w:left="0"/>
        <w:jc w:val="both"/>
      </w:pPr>
      <w:r>
        <w:rPr>
          <w:rFonts w:ascii="Times New Roman"/>
          <w:b w:val="false"/>
          <w:i w:val="false"/>
          <w:color w:val="000000"/>
          <w:sz w:val="28"/>
        </w:rPr>
        <w:t>
      1) оценки соответствия целей и показателей результата ИКТ-проектов существующим целям, задачам и целевым индикаторам Системы государственного планирования;</w:t>
      </w:r>
    </w:p>
    <w:bookmarkEnd w:id="126"/>
    <w:bookmarkStart w:name="z133" w:id="127"/>
    <w:p>
      <w:pPr>
        <w:spacing w:after="0"/>
        <w:ind w:left="0"/>
        <w:jc w:val="both"/>
      </w:pPr>
      <w:r>
        <w:rPr>
          <w:rFonts w:ascii="Times New Roman"/>
          <w:b w:val="false"/>
          <w:i w:val="false"/>
          <w:color w:val="000000"/>
          <w:sz w:val="28"/>
        </w:rPr>
        <w:t>
      2) оценки наличия технологических рисков объектов информатизации, в том числе инновационных перспективных технологий для повышения эффективности деятельности;</w:t>
      </w:r>
    </w:p>
    <w:bookmarkEnd w:id="127"/>
    <w:bookmarkStart w:name="z134" w:id="128"/>
    <w:p>
      <w:pPr>
        <w:spacing w:after="0"/>
        <w:ind w:left="0"/>
        <w:jc w:val="both"/>
      </w:pPr>
      <w:r>
        <w:rPr>
          <w:rFonts w:ascii="Times New Roman"/>
          <w:b w:val="false"/>
          <w:i w:val="false"/>
          <w:color w:val="000000"/>
          <w:sz w:val="28"/>
        </w:rPr>
        <w:t>
      3) оценки состояния функциональных возможностей;</w:t>
      </w:r>
    </w:p>
    <w:bookmarkEnd w:id="128"/>
    <w:bookmarkStart w:name="z135" w:id="129"/>
    <w:p>
      <w:pPr>
        <w:spacing w:after="0"/>
        <w:ind w:left="0"/>
        <w:jc w:val="both"/>
      </w:pPr>
      <w:r>
        <w:rPr>
          <w:rFonts w:ascii="Times New Roman"/>
          <w:b w:val="false"/>
          <w:i w:val="false"/>
          <w:color w:val="000000"/>
          <w:sz w:val="28"/>
        </w:rPr>
        <w:t>
      4) оценки соответствия результатов реализации ИКТ-проекта существующим ожиданиям заинтересованных сторон и заявленным эффектам.</w:t>
      </w:r>
    </w:p>
    <w:bookmarkEnd w:id="129"/>
    <w:bookmarkStart w:name="z136" w:id="130"/>
    <w:p>
      <w:pPr>
        <w:spacing w:after="0"/>
        <w:ind w:left="0"/>
        <w:jc w:val="both"/>
      </w:pPr>
      <w:r>
        <w:rPr>
          <w:rFonts w:ascii="Times New Roman"/>
          <w:b w:val="false"/>
          <w:i w:val="false"/>
          <w:color w:val="000000"/>
          <w:sz w:val="28"/>
        </w:rPr>
        <w:t>
      35. В случае несоответствия и частичного соответствия результатов реализации ИКТ-проекта, архитектуре "электронного правительства" сервисным интегратором "электронного правительства" формулируются рекомендации по доработке результатов реализации ИКТ-проектов.</w:t>
      </w:r>
    </w:p>
    <w:bookmarkEnd w:id="130"/>
    <w:bookmarkStart w:name="z137" w:id="131"/>
    <w:p>
      <w:pPr>
        <w:spacing w:after="0"/>
        <w:ind w:left="0"/>
        <w:jc w:val="both"/>
      </w:pPr>
      <w:r>
        <w:rPr>
          <w:rFonts w:ascii="Times New Roman"/>
          <w:b w:val="false"/>
          <w:i w:val="false"/>
          <w:color w:val="000000"/>
          <w:sz w:val="28"/>
        </w:rPr>
        <w:t>
      36. По результатам оценки соответствия архитектуре "электронного правительства" сервисный интегратор выносит заключение на архитектурном портале об уровне соответствия ИКТ-проекта и архитектурных компонентов, в том числе:</w:t>
      </w:r>
    </w:p>
    <w:bookmarkEnd w:id="131"/>
    <w:bookmarkStart w:name="z138" w:id="132"/>
    <w:p>
      <w:pPr>
        <w:spacing w:after="0"/>
        <w:ind w:left="0"/>
        <w:jc w:val="both"/>
      </w:pPr>
      <w:r>
        <w:rPr>
          <w:rFonts w:ascii="Times New Roman"/>
          <w:b w:val="false"/>
          <w:i w:val="false"/>
          <w:color w:val="000000"/>
          <w:sz w:val="28"/>
        </w:rPr>
        <w:t>
      1) не соответствует архитектуре "электронного правительства";</w:t>
      </w:r>
    </w:p>
    <w:bookmarkEnd w:id="132"/>
    <w:bookmarkStart w:name="z139" w:id="133"/>
    <w:p>
      <w:pPr>
        <w:spacing w:after="0"/>
        <w:ind w:left="0"/>
        <w:jc w:val="both"/>
      </w:pPr>
      <w:r>
        <w:rPr>
          <w:rFonts w:ascii="Times New Roman"/>
          <w:b w:val="false"/>
          <w:i w:val="false"/>
          <w:color w:val="000000"/>
          <w:sz w:val="28"/>
        </w:rPr>
        <w:t>
      2) частично соответствует архитектуре "электронного правительства";</w:t>
      </w:r>
    </w:p>
    <w:bookmarkEnd w:id="133"/>
    <w:bookmarkStart w:name="z140" w:id="134"/>
    <w:p>
      <w:pPr>
        <w:spacing w:after="0"/>
        <w:ind w:left="0"/>
        <w:jc w:val="both"/>
      </w:pPr>
      <w:r>
        <w:rPr>
          <w:rFonts w:ascii="Times New Roman"/>
          <w:b w:val="false"/>
          <w:i w:val="false"/>
          <w:color w:val="000000"/>
          <w:sz w:val="28"/>
        </w:rPr>
        <w:t>
      3) полностью соответствует архитектуре "электронного правительства".</w:t>
      </w:r>
    </w:p>
    <w:bookmarkEnd w:id="134"/>
    <w:bookmarkStart w:name="z141" w:id="135"/>
    <w:p>
      <w:pPr>
        <w:spacing w:after="0"/>
        <w:ind w:left="0"/>
        <w:jc w:val="both"/>
      </w:pPr>
      <w:r>
        <w:rPr>
          <w:rFonts w:ascii="Times New Roman"/>
          <w:b w:val="false"/>
          <w:i w:val="false"/>
          <w:color w:val="000000"/>
          <w:sz w:val="28"/>
        </w:rPr>
        <w:t>
      Результаты мониторинга реализации архитектуры "электронного правительства" оформляются сервисным интегратором на архитектурном портале в виде отчета о реализации за соответствующий период и предоставляются уполномоченному органу.</w:t>
      </w:r>
    </w:p>
    <w:bookmarkEnd w:id="135"/>
    <w:bookmarkStart w:name="z142" w:id="136"/>
    <w:p>
      <w:pPr>
        <w:spacing w:after="0"/>
        <w:ind w:left="0"/>
        <w:jc w:val="both"/>
      </w:pPr>
      <w:r>
        <w:rPr>
          <w:rFonts w:ascii="Times New Roman"/>
          <w:b w:val="false"/>
          <w:i w:val="false"/>
          <w:color w:val="000000"/>
          <w:sz w:val="28"/>
        </w:rPr>
        <w:t>
      37. Уполномоченный орган осуществляет координацию мониторинга реализации архитектуры "электронного правительства".</w:t>
      </w:r>
    </w:p>
    <w:bookmarkEnd w:id="136"/>
    <w:bookmarkStart w:name="z143" w:id="137"/>
    <w:p>
      <w:pPr>
        <w:spacing w:after="0"/>
        <w:ind w:left="0"/>
        <w:jc w:val="both"/>
      </w:pPr>
      <w:r>
        <w:rPr>
          <w:rFonts w:ascii="Times New Roman"/>
          <w:b w:val="false"/>
          <w:i w:val="false"/>
          <w:color w:val="000000"/>
          <w:sz w:val="28"/>
        </w:rPr>
        <w:t>
      При мониторинге реализации архитектуры "электронного правительства" применяются методы и подходы проектного управления, определенные правилами осуществления проектного управления.</w:t>
      </w:r>
    </w:p>
    <w:bookmarkEnd w:id="137"/>
    <w:bookmarkStart w:name="z144" w:id="138"/>
    <w:p>
      <w:pPr>
        <w:spacing w:after="0"/>
        <w:ind w:left="0"/>
        <w:jc w:val="both"/>
      </w:pPr>
      <w:r>
        <w:rPr>
          <w:rFonts w:ascii="Times New Roman"/>
          <w:b w:val="false"/>
          <w:i w:val="false"/>
          <w:color w:val="000000"/>
          <w:sz w:val="28"/>
        </w:rPr>
        <w:t>
      38. В целях проведения мониторинга реализации ИКТ-проектов в рамках архитектуры "электронного правительства" уполномоченный орган обеспечивает проведение оценки эффективности, результативности и рисков неисполнения ИКТ-проектов на всех этапах реализации:</w:t>
      </w:r>
    </w:p>
    <w:bookmarkEnd w:id="138"/>
    <w:bookmarkStart w:name="z145" w:id="139"/>
    <w:p>
      <w:pPr>
        <w:spacing w:after="0"/>
        <w:ind w:left="0"/>
        <w:jc w:val="both"/>
      </w:pPr>
      <w:r>
        <w:rPr>
          <w:rFonts w:ascii="Times New Roman"/>
          <w:b w:val="false"/>
          <w:i w:val="false"/>
          <w:color w:val="000000"/>
          <w:sz w:val="28"/>
        </w:rPr>
        <w:t>
      1) несвоевременное/неполноценное проведение работ;</w:t>
      </w:r>
    </w:p>
    <w:bookmarkEnd w:id="139"/>
    <w:bookmarkStart w:name="z146" w:id="140"/>
    <w:p>
      <w:pPr>
        <w:spacing w:after="0"/>
        <w:ind w:left="0"/>
        <w:jc w:val="both"/>
      </w:pPr>
      <w:r>
        <w:rPr>
          <w:rFonts w:ascii="Times New Roman"/>
          <w:b w:val="false"/>
          <w:i w:val="false"/>
          <w:color w:val="000000"/>
          <w:sz w:val="28"/>
        </w:rPr>
        <w:t>
      2) неисполнение рекомендаций;</w:t>
      </w:r>
    </w:p>
    <w:bookmarkEnd w:id="140"/>
    <w:bookmarkStart w:name="z147" w:id="141"/>
    <w:p>
      <w:pPr>
        <w:spacing w:after="0"/>
        <w:ind w:left="0"/>
        <w:jc w:val="both"/>
      </w:pPr>
      <w:r>
        <w:rPr>
          <w:rFonts w:ascii="Times New Roman"/>
          <w:b w:val="false"/>
          <w:i w:val="false"/>
          <w:color w:val="000000"/>
          <w:sz w:val="28"/>
        </w:rPr>
        <w:t>
      3) существенное превышение бюджетов;</w:t>
      </w:r>
    </w:p>
    <w:bookmarkEnd w:id="141"/>
    <w:bookmarkStart w:name="z148" w:id="142"/>
    <w:p>
      <w:pPr>
        <w:spacing w:after="0"/>
        <w:ind w:left="0"/>
        <w:jc w:val="both"/>
      </w:pPr>
      <w:r>
        <w:rPr>
          <w:rFonts w:ascii="Times New Roman"/>
          <w:b w:val="false"/>
          <w:i w:val="false"/>
          <w:color w:val="000000"/>
          <w:sz w:val="28"/>
        </w:rPr>
        <w:t>
      4) недостижение, частичное достижение целей и показателей результата;</w:t>
      </w:r>
    </w:p>
    <w:bookmarkEnd w:id="142"/>
    <w:bookmarkStart w:name="z149" w:id="143"/>
    <w:p>
      <w:pPr>
        <w:spacing w:after="0"/>
        <w:ind w:left="0"/>
        <w:jc w:val="both"/>
      </w:pPr>
      <w:r>
        <w:rPr>
          <w:rFonts w:ascii="Times New Roman"/>
          <w:b w:val="false"/>
          <w:i w:val="false"/>
          <w:color w:val="000000"/>
          <w:sz w:val="28"/>
        </w:rPr>
        <w:t>
      5) несоответствие реализованных ИКТ-проектов функциональным требованиям архитектуры электронного правительства".</w:t>
      </w:r>
    </w:p>
    <w:bookmarkEnd w:id="143"/>
    <w:bookmarkStart w:name="z150" w:id="144"/>
    <w:p>
      <w:pPr>
        <w:spacing w:after="0"/>
        <w:ind w:left="0"/>
        <w:jc w:val="both"/>
      </w:pPr>
      <w:r>
        <w:rPr>
          <w:rFonts w:ascii="Times New Roman"/>
          <w:b w:val="false"/>
          <w:i w:val="false"/>
          <w:color w:val="000000"/>
          <w:sz w:val="28"/>
        </w:rPr>
        <w:t>
      39. Результаты мониторинга реализации архитектуры "электронного правительства", оценки степени достижения результатов ИКТ-проектов уполномоченный орган отображает в заключениях по оценке эффективности деятельности ГО по применению информационно-коммуникационных технологий и оценке качества оказания государственных услуг.</w:t>
      </w:r>
    </w:p>
    <w:bookmarkEnd w:id="144"/>
    <w:bookmarkStart w:name="z151" w:id="145"/>
    <w:p>
      <w:pPr>
        <w:spacing w:after="0"/>
        <w:ind w:left="0"/>
        <w:jc w:val="both"/>
      </w:pPr>
      <w:r>
        <w:rPr>
          <w:rFonts w:ascii="Times New Roman"/>
          <w:b w:val="false"/>
          <w:i w:val="false"/>
          <w:color w:val="000000"/>
          <w:sz w:val="28"/>
        </w:rPr>
        <w:t xml:space="preserve">
      40. ГО осуществляет разработку и размещение платформенных программных продуктов на ИКП ЭП согласно Правилам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утверждаемым в соответствии с пунктом 4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"Об информатизации".</w:t>
      </w:r>
    </w:p>
    <w:bookmarkEnd w:id="145"/>
    <w:bookmarkStart w:name="z152" w:id="146"/>
    <w:p>
      <w:pPr>
        <w:spacing w:after="0"/>
        <w:ind w:left="0"/>
        <w:jc w:val="both"/>
      </w:pPr>
      <w:r>
        <w:rPr>
          <w:rFonts w:ascii="Times New Roman"/>
          <w:b w:val="false"/>
          <w:i w:val="false"/>
          <w:color w:val="000000"/>
          <w:sz w:val="28"/>
        </w:rPr>
        <w:t>
      41. В целях обеспечения исполнения заключения об уровне соответствия ИКТ-проекта и архитектурных компонентов соответствия, реализованных ИКТ-проектов требованиям архитектуры "электронного правительства", сервисный интегратор осуществляет мониторинг своевременного исполнения рекомендаций уполномоченного органа в области информатизации по архитектуре "электронного правительства" .</w:t>
      </w:r>
    </w:p>
    <w:bookmarkEnd w:id="146"/>
    <w:bookmarkStart w:name="z153" w:id="147"/>
    <w:p>
      <w:pPr>
        <w:spacing w:after="0"/>
        <w:ind w:left="0"/>
        <w:jc w:val="both"/>
      </w:pPr>
      <w:r>
        <w:rPr>
          <w:rFonts w:ascii="Times New Roman"/>
          <w:b w:val="false"/>
          <w:i w:val="false"/>
          <w:color w:val="000000"/>
          <w:sz w:val="28"/>
        </w:rPr>
        <w:t>
      42. В рамках мониторинга исполнения рекомендаций уполномоченного органа в области информатизации по архитектуре "электронного правительства" сервисный интегратор проводит:</w:t>
      </w:r>
    </w:p>
    <w:bookmarkEnd w:id="147"/>
    <w:bookmarkStart w:name="z154" w:id="148"/>
    <w:p>
      <w:pPr>
        <w:spacing w:after="0"/>
        <w:ind w:left="0"/>
        <w:jc w:val="both"/>
      </w:pPr>
      <w:r>
        <w:rPr>
          <w:rFonts w:ascii="Times New Roman"/>
          <w:b w:val="false"/>
          <w:i w:val="false"/>
          <w:color w:val="000000"/>
          <w:sz w:val="28"/>
        </w:rPr>
        <w:t>
      1) проверку реализации рекомендаций, сформированных в ходе оценки соответствия архитектуры "электронного правительства" на архитектурном портале;</w:t>
      </w:r>
    </w:p>
    <w:bookmarkEnd w:id="148"/>
    <w:bookmarkStart w:name="z155" w:id="149"/>
    <w:p>
      <w:pPr>
        <w:spacing w:after="0"/>
        <w:ind w:left="0"/>
        <w:jc w:val="both"/>
      </w:pPr>
      <w:r>
        <w:rPr>
          <w:rFonts w:ascii="Times New Roman"/>
          <w:b w:val="false"/>
          <w:i w:val="false"/>
          <w:color w:val="000000"/>
          <w:sz w:val="28"/>
        </w:rPr>
        <w:t>
      2) проверку реализации решений, сформированных в рамках реинжиниринга;</w:t>
      </w:r>
    </w:p>
    <w:bookmarkEnd w:id="149"/>
    <w:bookmarkStart w:name="z156" w:id="150"/>
    <w:p>
      <w:pPr>
        <w:spacing w:after="0"/>
        <w:ind w:left="0"/>
        <w:jc w:val="both"/>
      </w:pPr>
      <w:r>
        <w:rPr>
          <w:rFonts w:ascii="Times New Roman"/>
          <w:b w:val="false"/>
          <w:i w:val="false"/>
          <w:color w:val="000000"/>
          <w:sz w:val="28"/>
        </w:rPr>
        <w:t>
      3) проверку реализованных ИКТ-проектов на соответствие требованиям архитектуры "электронного правительства", по поручениям уполномоченного органа;</w:t>
      </w:r>
    </w:p>
    <w:bookmarkEnd w:id="150"/>
    <w:bookmarkStart w:name="z157" w:id="151"/>
    <w:p>
      <w:pPr>
        <w:spacing w:after="0"/>
        <w:ind w:left="0"/>
        <w:jc w:val="both"/>
      </w:pPr>
      <w:r>
        <w:rPr>
          <w:rFonts w:ascii="Times New Roman"/>
          <w:b w:val="false"/>
          <w:i w:val="false"/>
          <w:color w:val="000000"/>
          <w:sz w:val="28"/>
        </w:rPr>
        <w:t>
      4) архитектурный надзор, в рамках которого проверяется реализация принятых решений по архитектуре "электронного правительства", исправление выявленных несоответствий по корректности группировки государственных функций и государственных услуг в функциональные возможности (группы функций) домена и по описанию субъектов, объектов данных, а также их типов и атрибутов на архитектурном портале.</w:t>
      </w:r>
    </w:p>
    <w:bookmarkEnd w:id="151"/>
    <w:bookmarkStart w:name="z158" w:id="152"/>
    <w:p>
      <w:pPr>
        <w:spacing w:after="0"/>
        <w:ind w:left="0"/>
        <w:jc w:val="both"/>
      </w:pPr>
      <w:r>
        <w:rPr>
          <w:rFonts w:ascii="Times New Roman"/>
          <w:b w:val="false"/>
          <w:i w:val="false"/>
          <w:color w:val="000000"/>
          <w:sz w:val="28"/>
        </w:rPr>
        <w:t>
      Мероприятия в рамках мониторинга реализации принятых решений по архитектуре "электронного правительства" являются архитектурным надзором.</w:t>
      </w:r>
    </w:p>
    <w:bookmarkEnd w:id="152"/>
    <w:bookmarkStart w:name="z159" w:id="153"/>
    <w:p>
      <w:pPr>
        <w:spacing w:after="0"/>
        <w:ind w:left="0"/>
        <w:jc w:val="both"/>
      </w:pPr>
      <w:r>
        <w:rPr>
          <w:rFonts w:ascii="Times New Roman"/>
          <w:b w:val="false"/>
          <w:i w:val="false"/>
          <w:color w:val="000000"/>
          <w:sz w:val="28"/>
        </w:rPr>
        <w:t>
      Архитектурный надзор выполняется на регулярной основе на основании рекомендаций уполномоченного органа в области информатизации, в том числе и результатов реинжиниринга.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реализации архитектуры</w:t>
            </w:r>
            <w:r>
              <w:br/>
            </w:r>
            <w:r>
              <w:rPr>
                <w:rFonts w:ascii="Times New Roman"/>
                <w:b w:val="false"/>
                <w:i w:val="false"/>
                <w:color w:val="000000"/>
                <w:sz w:val="20"/>
              </w:rPr>
              <w:t>"электронного правительства"</w:t>
            </w:r>
          </w:p>
        </w:tc>
      </w:tr>
    </w:tbl>
    <w:bookmarkStart w:name="z161" w:id="154"/>
    <w:p>
      <w:pPr>
        <w:spacing w:after="0"/>
        <w:ind w:left="0"/>
        <w:jc w:val="both"/>
      </w:pPr>
      <w:r>
        <w:rPr>
          <w:rFonts w:ascii="Times New Roman"/>
          <w:b w:val="false"/>
          <w:i w:val="false"/>
          <w:color w:val="000000"/>
          <w:sz w:val="28"/>
        </w:rPr>
        <w:t>
      1. Сведения об объектах информатизации "электронного правительства", подлежащие учету на архитектурном портале</w:t>
      </w:r>
    </w:p>
    <w:bookmarkEnd w:id="154"/>
    <w:bookmarkStart w:name="z162" w:id="155"/>
    <w:p>
      <w:pPr>
        <w:spacing w:after="0"/>
        <w:ind w:left="0"/>
        <w:jc w:val="both"/>
      </w:pPr>
      <w:r>
        <w:rPr>
          <w:rFonts w:ascii="Times New Roman"/>
          <w:b w:val="false"/>
          <w:i w:val="false"/>
          <w:color w:val="000000"/>
          <w:sz w:val="28"/>
        </w:rPr>
        <w:t xml:space="preserve">
      1) Техническая документация по информационной безопасности, определенная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155"/>
    <w:bookmarkStart w:name="z163" w:id="156"/>
    <w:p>
      <w:pPr>
        <w:spacing w:after="0"/>
        <w:ind w:left="0"/>
        <w:jc w:val="both"/>
      </w:pPr>
      <w:r>
        <w:rPr>
          <w:rFonts w:ascii="Times New Roman"/>
          <w:b w:val="false"/>
          <w:i w:val="false"/>
          <w:color w:val="000000"/>
          <w:sz w:val="28"/>
        </w:rPr>
        <w:t xml:space="preserve">
      2) сведения о проведении испытаний на соответствие требованиям информационной безопасности объектов информатизации "электронного правительства"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w:t>
      </w:r>
    </w:p>
    <w:bookmarkEnd w:id="156"/>
    <w:bookmarkStart w:name="z164" w:id="157"/>
    <w:p>
      <w:pPr>
        <w:spacing w:after="0"/>
        <w:ind w:left="0"/>
        <w:jc w:val="both"/>
      </w:pPr>
      <w:r>
        <w:rPr>
          <w:rFonts w:ascii="Times New Roman"/>
          <w:b w:val="false"/>
          <w:i w:val="false"/>
          <w:color w:val="000000"/>
          <w:sz w:val="28"/>
        </w:rPr>
        <w:t>
      3) документ, подтверждающий факт постановки на бухгалтерский учет объектов информатизации "электронного правительства";</w:t>
      </w:r>
    </w:p>
    <w:bookmarkEnd w:id="157"/>
    <w:bookmarkStart w:name="z165" w:id="158"/>
    <w:p>
      <w:pPr>
        <w:spacing w:after="0"/>
        <w:ind w:left="0"/>
        <w:jc w:val="both"/>
      </w:pPr>
      <w:r>
        <w:rPr>
          <w:rFonts w:ascii="Times New Roman"/>
          <w:b w:val="false"/>
          <w:i w:val="false"/>
          <w:color w:val="000000"/>
          <w:sz w:val="28"/>
        </w:rPr>
        <w:t>
      4) документ, подтверждающий прекращение промышленной эксплуатации объекта информатизации "электронного правительства";</w:t>
      </w:r>
    </w:p>
    <w:bookmarkEnd w:id="158"/>
    <w:bookmarkStart w:name="z166" w:id="159"/>
    <w:p>
      <w:pPr>
        <w:spacing w:after="0"/>
        <w:ind w:left="0"/>
        <w:jc w:val="both"/>
      </w:pPr>
      <w:r>
        <w:rPr>
          <w:rFonts w:ascii="Times New Roman"/>
          <w:b w:val="false"/>
          <w:i w:val="false"/>
          <w:color w:val="000000"/>
          <w:sz w:val="28"/>
        </w:rPr>
        <w:t>
      5) сведения о заключении договоров о государственных закупках товаров, работ и услуг в сфере информатизации;</w:t>
      </w:r>
    </w:p>
    <w:bookmarkEnd w:id="159"/>
    <w:bookmarkStart w:name="z167" w:id="160"/>
    <w:p>
      <w:pPr>
        <w:spacing w:after="0"/>
        <w:ind w:left="0"/>
        <w:jc w:val="both"/>
      </w:pPr>
      <w:r>
        <w:rPr>
          <w:rFonts w:ascii="Times New Roman"/>
          <w:b w:val="false"/>
          <w:i w:val="false"/>
          <w:color w:val="000000"/>
          <w:sz w:val="28"/>
        </w:rPr>
        <w:t>
      6) эксплуатационные документы, в состав которых входят:</w:t>
      </w:r>
    </w:p>
    <w:bookmarkEnd w:id="160"/>
    <w:bookmarkStart w:name="z168" w:id="161"/>
    <w:p>
      <w:pPr>
        <w:spacing w:after="0"/>
        <w:ind w:left="0"/>
        <w:jc w:val="both"/>
      </w:pPr>
      <w:r>
        <w:rPr>
          <w:rFonts w:ascii="Times New Roman"/>
          <w:b w:val="false"/>
          <w:i w:val="false"/>
          <w:color w:val="000000"/>
          <w:sz w:val="28"/>
        </w:rPr>
        <w:t>
       руководство пользователя;</w:t>
      </w:r>
    </w:p>
    <w:bookmarkEnd w:id="161"/>
    <w:bookmarkStart w:name="z169" w:id="162"/>
    <w:p>
      <w:pPr>
        <w:spacing w:after="0"/>
        <w:ind w:left="0"/>
        <w:jc w:val="both"/>
      </w:pPr>
      <w:r>
        <w:rPr>
          <w:rFonts w:ascii="Times New Roman"/>
          <w:b w:val="false"/>
          <w:i w:val="false"/>
          <w:color w:val="000000"/>
          <w:sz w:val="28"/>
        </w:rPr>
        <w:t>
       руководство администратора;</w:t>
      </w:r>
    </w:p>
    <w:bookmarkEnd w:id="162"/>
    <w:bookmarkStart w:name="z170" w:id="163"/>
    <w:p>
      <w:pPr>
        <w:spacing w:after="0"/>
        <w:ind w:left="0"/>
        <w:jc w:val="both"/>
      </w:pPr>
      <w:r>
        <w:rPr>
          <w:rFonts w:ascii="Times New Roman"/>
          <w:b w:val="false"/>
          <w:i w:val="false"/>
          <w:color w:val="000000"/>
          <w:sz w:val="28"/>
        </w:rPr>
        <w:t>
      7) техно-рабочий проект, в состав которого входят:</w:t>
      </w:r>
    </w:p>
    <w:bookmarkEnd w:id="163"/>
    <w:bookmarkStart w:name="z171" w:id="164"/>
    <w:p>
      <w:pPr>
        <w:spacing w:after="0"/>
        <w:ind w:left="0"/>
        <w:jc w:val="both"/>
      </w:pPr>
      <w:r>
        <w:rPr>
          <w:rFonts w:ascii="Times New Roman"/>
          <w:b w:val="false"/>
          <w:i w:val="false"/>
          <w:color w:val="000000"/>
          <w:sz w:val="28"/>
        </w:rPr>
        <w:t>
      спецификация (ГОСТ 19.202-78 "Спецификация. Требования к содержанию и оформлению");</w:t>
      </w:r>
    </w:p>
    <w:bookmarkEnd w:id="164"/>
    <w:bookmarkStart w:name="z172" w:id="165"/>
    <w:p>
      <w:pPr>
        <w:spacing w:after="0"/>
        <w:ind w:left="0"/>
        <w:jc w:val="both"/>
      </w:pPr>
      <w:r>
        <w:rPr>
          <w:rFonts w:ascii="Times New Roman"/>
          <w:b w:val="false"/>
          <w:i w:val="false"/>
          <w:color w:val="000000"/>
          <w:sz w:val="28"/>
        </w:rPr>
        <w:t>
      описание программы (ГОСТ 19.402-78 "Описание программы. Требования к содержанию и оформлению");</w:t>
      </w:r>
    </w:p>
    <w:bookmarkEnd w:id="165"/>
    <w:bookmarkStart w:name="z173" w:id="166"/>
    <w:p>
      <w:pPr>
        <w:spacing w:after="0"/>
        <w:ind w:left="0"/>
        <w:jc w:val="both"/>
      </w:pPr>
      <w:r>
        <w:rPr>
          <w:rFonts w:ascii="Times New Roman"/>
          <w:b w:val="false"/>
          <w:i w:val="false"/>
          <w:color w:val="000000"/>
          <w:sz w:val="28"/>
        </w:rPr>
        <w:t>
      пояснительная записка (ГОСТ 19.404-79 "Пояснительная записка. Требования к содержанию и оформлению").</w:t>
      </w:r>
    </w:p>
    <w:bookmarkEnd w:id="166"/>
    <w:bookmarkStart w:name="z174" w:id="167"/>
    <w:p>
      <w:pPr>
        <w:spacing w:after="0"/>
        <w:ind w:left="0"/>
        <w:jc w:val="both"/>
      </w:pPr>
      <w:r>
        <w:rPr>
          <w:rFonts w:ascii="Times New Roman"/>
          <w:b w:val="false"/>
          <w:i w:val="false"/>
          <w:color w:val="000000"/>
          <w:sz w:val="28"/>
        </w:rPr>
        <w:t>
      8) программа и методика испытаний, протоколы испытаний (ГОСТ 34.603-92 "Информационная технология. Виды испытаний автоматизированных систем");</w:t>
      </w:r>
    </w:p>
    <w:bookmarkEnd w:id="167"/>
    <w:bookmarkStart w:name="z175" w:id="168"/>
    <w:p>
      <w:pPr>
        <w:spacing w:after="0"/>
        <w:ind w:left="0"/>
        <w:jc w:val="both"/>
      </w:pPr>
      <w:r>
        <w:rPr>
          <w:rFonts w:ascii="Times New Roman"/>
          <w:b w:val="false"/>
          <w:i w:val="false"/>
          <w:color w:val="000000"/>
          <w:sz w:val="28"/>
        </w:rPr>
        <w:t>
      9) акт ввода в опытную, промышленную эксплуатацию;</w:t>
      </w:r>
    </w:p>
    <w:bookmarkEnd w:id="168"/>
    <w:bookmarkStart w:name="z176" w:id="169"/>
    <w:p>
      <w:pPr>
        <w:spacing w:after="0"/>
        <w:ind w:left="0"/>
        <w:jc w:val="both"/>
      </w:pPr>
      <w:r>
        <w:rPr>
          <w:rFonts w:ascii="Times New Roman"/>
          <w:b w:val="false"/>
          <w:i w:val="false"/>
          <w:color w:val="000000"/>
          <w:sz w:val="28"/>
        </w:rPr>
        <w:t>
      10) сведения об утверждении и внесении изменений в техническую и проектную документацию;</w:t>
      </w:r>
    </w:p>
    <w:bookmarkEnd w:id="169"/>
    <w:bookmarkStart w:name="z177" w:id="170"/>
    <w:p>
      <w:pPr>
        <w:spacing w:after="0"/>
        <w:ind w:left="0"/>
        <w:jc w:val="both"/>
      </w:pPr>
      <w:r>
        <w:rPr>
          <w:rFonts w:ascii="Times New Roman"/>
          <w:b w:val="false"/>
          <w:i w:val="false"/>
          <w:color w:val="000000"/>
          <w:sz w:val="28"/>
        </w:rPr>
        <w:t>
      11) техническое задание (СТ РК 34.015-2002 "Информационная технология. Комплекс стандартов на автоматизированные системы. Техническое задание на создание автоматизированной системы");</w:t>
      </w:r>
    </w:p>
    <w:bookmarkEnd w:id="170"/>
    <w:bookmarkStart w:name="z178" w:id="171"/>
    <w:p>
      <w:pPr>
        <w:spacing w:after="0"/>
        <w:ind w:left="0"/>
        <w:jc w:val="both"/>
      </w:pPr>
      <w:r>
        <w:rPr>
          <w:rFonts w:ascii="Times New Roman"/>
          <w:b w:val="false"/>
          <w:i w:val="false"/>
          <w:color w:val="000000"/>
          <w:sz w:val="28"/>
        </w:rPr>
        <w:t>
      12) договора на приобретение, создание, развитие, сопровождение объекта информатизации "электронного правительства";</w:t>
      </w:r>
    </w:p>
    <w:bookmarkEnd w:id="171"/>
    <w:bookmarkStart w:name="z179" w:id="172"/>
    <w:p>
      <w:pPr>
        <w:spacing w:after="0"/>
        <w:ind w:left="0"/>
        <w:jc w:val="both"/>
      </w:pPr>
      <w:r>
        <w:rPr>
          <w:rFonts w:ascii="Times New Roman"/>
          <w:b w:val="false"/>
          <w:i w:val="false"/>
          <w:color w:val="000000"/>
          <w:sz w:val="28"/>
        </w:rPr>
        <w:t>
      13) инвентарный перечень и характеристики объекта информатизации "электронного правительства";</w:t>
      </w:r>
    </w:p>
    <w:bookmarkEnd w:id="172"/>
    <w:bookmarkStart w:name="z180" w:id="173"/>
    <w:p>
      <w:pPr>
        <w:spacing w:after="0"/>
        <w:ind w:left="0"/>
        <w:jc w:val="both"/>
      </w:pPr>
      <w:r>
        <w:rPr>
          <w:rFonts w:ascii="Times New Roman"/>
          <w:b w:val="false"/>
          <w:i w:val="false"/>
          <w:color w:val="000000"/>
          <w:sz w:val="28"/>
        </w:rPr>
        <w:t>
      14) общие сведения о создаваемом или вводимом в опытную эксплуатацию объекте информатизации "электронного правительства";</w:t>
      </w:r>
    </w:p>
    <w:bookmarkEnd w:id="173"/>
    <w:bookmarkStart w:name="z181" w:id="174"/>
    <w:p>
      <w:pPr>
        <w:spacing w:after="0"/>
        <w:ind w:left="0"/>
        <w:jc w:val="both"/>
      </w:pPr>
      <w:r>
        <w:rPr>
          <w:rFonts w:ascii="Times New Roman"/>
          <w:b w:val="false"/>
          <w:i w:val="false"/>
          <w:color w:val="000000"/>
          <w:sz w:val="28"/>
        </w:rPr>
        <w:t>
      15) сведения о хранимых данных, инсталляциях, внедрении, затратах, автоматизации, исходном коде и классификаторах.</w:t>
      </w:r>
    </w:p>
    <w:bookmarkEnd w:id="174"/>
    <w:bookmarkStart w:name="z182" w:id="175"/>
    <w:p>
      <w:pPr>
        <w:spacing w:after="0"/>
        <w:ind w:left="0"/>
        <w:jc w:val="both"/>
      </w:pPr>
      <w:r>
        <w:rPr>
          <w:rFonts w:ascii="Times New Roman"/>
          <w:b w:val="false"/>
          <w:i w:val="false"/>
          <w:color w:val="000000"/>
          <w:sz w:val="28"/>
        </w:rPr>
        <w:t>
      2. Сведения о платформенных программных продуктах, подлежащих учету на архитектурном портале</w:t>
      </w:r>
    </w:p>
    <w:bookmarkEnd w:id="175"/>
    <w:bookmarkStart w:name="z183" w:id="176"/>
    <w:p>
      <w:pPr>
        <w:spacing w:after="0"/>
        <w:ind w:left="0"/>
        <w:jc w:val="both"/>
      </w:pPr>
      <w:r>
        <w:rPr>
          <w:rFonts w:ascii="Times New Roman"/>
          <w:b w:val="false"/>
          <w:i w:val="false"/>
          <w:color w:val="000000"/>
          <w:sz w:val="28"/>
        </w:rPr>
        <w:t xml:space="preserve">
      1) Сведения о проведении испытаний на соответствие требованиям информационной безопасности платформенных программных продуктов (протоколы испытаний на соответствие требованиям информационной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Республики Казахстан № 18795);</w:t>
      </w:r>
    </w:p>
    <w:bookmarkEnd w:id="176"/>
    <w:bookmarkStart w:name="z184" w:id="177"/>
    <w:p>
      <w:pPr>
        <w:spacing w:after="0"/>
        <w:ind w:left="0"/>
        <w:jc w:val="both"/>
      </w:pPr>
      <w:r>
        <w:rPr>
          <w:rFonts w:ascii="Times New Roman"/>
          <w:b w:val="false"/>
          <w:i w:val="false"/>
          <w:color w:val="000000"/>
          <w:sz w:val="28"/>
        </w:rPr>
        <w:t>
      2) Документ, подтверждающий факт постановки на бухгалтерский учет платформенных программных продуктов;</w:t>
      </w:r>
    </w:p>
    <w:bookmarkEnd w:id="177"/>
    <w:bookmarkStart w:name="z185" w:id="178"/>
    <w:p>
      <w:pPr>
        <w:spacing w:after="0"/>
        <w:ind w:left="0"/>
        <w:jc w:val="both"/>
      </w:pPr>
      <w:r>
        <w:rPr>
          <w:rFonts w:ascii="Times New Roman"/>
          <w:b w:val="false"/>
          <w:i w:val="false"/>
          <w:color w:val="000000"/>
          <w:sz w:val="28"/>
        </w:rPr>
        <w:t>
      3) Документ, подтверждающий прекращение промышленной эксплуатации платформенного программного продукта;</w:t>
      </w:r>
    </w:p>
    <w:bookmarkEnd w:id="178"/>
    <w:bookmarkStart w:name="z186" w:id="179"/>
    <w:p>
      <w:pPr>
        <w:spacing w:after="0"/>
        <w:ind w:left="0"/>
        <w:jc w:val="both"/>
      </w:pPr>
      <w:r>
        <w:rPr>
          <w:rFonts w:ascii="Times New Roman"/>
          <w:b w:val="false"/>
          <w:i w:val="false"/>
          <w:color w:val="000000"/>
          <w:sz w:val="28"/>
        </w:rPr>
        <w:t>
      4) Сведения о заключении договоров о государственных закупках товаров, работ и услуг в сфере информатизации;</w:t>
      </w:r>
    </w:p>
    <w:bookmarkEnd w:id="179"/>
    <w:bookmarkStart w:name="z187" w:id="180"/>
    <w:p>
      <w:pPr>
        <w:spacing w:after="0"/>
        <w:ind w:left="0"/>
        <w:jc w:val="both"/>
      </w:pPr>
      <w:r>
        <w:rPr>
          <w:rFonts w:ascii="Times New Roman"/>
          <w:b w:val="false"/>
          <w:i w:val="false"/>
          <w:color w:val="000000"/>
          <w:sz w:val="28"/>
        </w:rPr>
        <w:t>
      5) Эксплуатационные документы, в состав которых входят:</w:t>
      </w:r>
    </w:p>
    <w:bookmarkEnd w:id="180"/>
    <w:bookmarkStart w:name="z188" w:id="181"/>
    <w:p>
      <w:pPr>
        <w:spacing w:after="0"/>
        <w:ind w:left="0"/>
        <w:jc w:val="both"/>
      </w:pPr>
      <w:r>
        <w:rPr>
          <w:rFonts w:ascii="Times New Roman"/>
          <w:b w:val="false"/>
          <w:i w:val="false"/>
          <w:color w:val="000000"/>
          <w:sz w:val="28"/>
        </w:rPr>
        <w:t>
      руководство пользователя;</w:t>
      </w:r>
    </w:p>
    <w:bookmarkEnd w:id="181"/>
    <w:bookmarkStart w:name="z189" w:id="182"/>
    <w:p>
      <w:pPr>
        <w:spacing w:after="0"/>
        <w:ind w:left="0"/>
        <w:jc w:val="both"/>
      </w:pPr>
      <w:r>
        <w:rPr>
          <w:rFonts w:ascii="Times New Roman"/>
          <w:b w:val="false"/>
          <w:i w:val="false"/>
          <w:color w:val="000000"/>
          <w:sz w:val="28"/>
        </w:rPr>
        <w:t>
      руководство администратора;</w:t>
      </w:r>
    </w:p>
    <w:bookmarkEnd w:id="182"/>
    <w:bookmarkStart w:name="z190" w:id="183"/>
    <w:p>
      <w:pPr>
        <w:spacing w:after="0"/>
        <w:ind w:left="0"/>
        <w:jc w:val="both"/>
      </w:pPr>
      <w:r>
        <w:rPr>
          <w:rFonts w:ascii="Times New Roman"/>
          <w:b w:val="false"/>
          <w:i w:val="false"/>
          <w:color w:val="000000"/>
          <w:sz w:val="28"/>
        </w:rPr>
        <w:t>
      6) Программа и методика испытаний, протоколы испытаний (ГОСТ 34.603-92 "Информационная технология. Виды испытаний автоматизированных систем");</w:t>
      </w:r>
    </w:p>
    <w:bookmarkEnd w:id="183"/>
    <w:bookmarkStart w:name="z191" w:id="184"/>
    <w:p>
      <w:pPr>
        <w:spacing w:after="0"/>
        <w:ind w:left="0"/>
        <w:jc w:val="both"/>
      </w:pPr>
      <w:r>
        <w:rPr>
          <w:rFonts w:ascii="Times New Roman"/>
          <w:b w:val="false"/>
          <w:i w:val="false"/>
          <w:color w:val="000000"/>
          <w:sz w:val="28"/>
        </w:rPr>
        <w:t>
      7) Акт ввода в опытную, промышленную эксплуатацию;</w:t>
      </w:r>
    </w:p>
    <w:bookmarkEnd w:id="184"/>
    <w:bookmarkStart w:name="z192" w:id="185"/>
    <w:p>
      <w:pPr>
        <w:spacing w:after="0"/>
        <w:ind w:left="0"/>
        <w:jc w:val="both"/>
      </w:pPr>
      <w:r>
        <w:rPr>
          <w:rFonts w:ascii="Times New Roman"/>
          <w:b w:val="false"/>
          <w:i w:val="false"/>
          <w:color w:val="000000"/>
          <w:sz w:val="28"/>
        </w:rPr>
        <w:t>
      8) Спецификация требований к платформенному программному продукту;</w:t>
      </w:r>
    </w:p>
    <w:bookmarkEnd w:id="185"/>
    <w:bookmarkStart w:name="z193" w:id="186"/>
    <w:p>
      <w:pPr>
        <w:spacing w:after="0"/>
        <w:ind w:left="0"/>
        <w:jc w:val="both"/>
      </w:pPr>
      <w:r>
        <w:rPr>
          <w:rFonts w:ascii="Times New Roman"/>
          <w:b w:val="false"/>
          <w:i w:val="false"/>
          <w:color w:val="000000"/>
          <w:sz w:val="28"/>
        </w:rPr>
        <w:t>
      9) Договора на разработку и размещение платформенного программного продукта;</w:t>
      </w:r>
    </w:p>
    <w:bookmarkEnd w:id="186"/>
    <w:bookmarkStart w:name="z194" w:id="187"/>
    <w:p>
      <w:pPr>
        <w:spacing w:after="0"/>
        <w:ind w:left="0"/>
        <w:jc w:val="both"/>
      </w:pPr>
      <w:r>
        <w:rPr>
          <w:rFonts w:ascii="Times New Roman"/>
          <w:b w:val="false"/>
          <w:i w:val="false"/>
          <w:color w:val="000000"/>
          <w:sz w:val="28"/>
        </w:rPr>
        <w:t>
      10) Инвентарный перечень и характеристики платформенного программного продукта;</w:t>
      </w:r>
    </w:p>
    <w:bookmarkEnd w:id="187"/>
    <w:bookmarkStart w:name="z195" w:id="188"/>
    <w:p>
      <w:pPr>
        <w:spacing w:after="0"/>
        <w:ind w:left="0"/>
        <w:jc w:val="both"/>
      </w:pPr>
      <w:r>
        <w:rPr>
          <w:rFonts w:ascii="Times New Roman"/>
          <w:b w:val="false"/>
          <w:i w:val="false"/>
          <w:color w:val="000000"/>
          <w:sz w:val="28"/>
        </w:rPr>
        <w:t>
      11) Общие сведения о создаваемом или вводимом в опытную эксплуатацию платформенного программного продукта;</w:t>
      </w:r>
    </w:p>
    <w:bookmarkEnd w:id="188"/>
    <w:bookmarkStart w:name="z196" w:id="189"/>
    <w:p>
      <w:pPr>
        <w:spacing w:after="0"/>
        <w:ind w:left="0"/>
        <w:jc w:val="both"/>
      </w:pPr>
      <w:r>
        <w:rPr>
          <w:rFonts w:ascii="Times New Roman"/>
          <w:b w:val="false"/>
          <w:i w:val="false"/>
          <w:color w:val="000000"/>
          <w:sz w:val="28"/>
        </w:rPr>
        <w:t>
      12) Сведения о хранимых данных, инсталляциях, внедрении, затратах, автоматизации, исходном коде и классификаторах.</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мониторинга</w:t>
            </w:r>
            <w:r>
              <w:br/>
            </w:r>
            <w:r>
              <w:rPr>
                <w:rFonts w:ascii="Times New Roman"/>
                <w:b w:val="false"/>
                <w:i w:val="false"/>
                <w:color w:val="000000"/>
                <w:sz w:val="20"/>
              </w:rPr>
              <w:t xml:space="preserve">реализации архитектуры </w:t>
            </w:r>
            <w:r>
              <w:br/>
            </w:r>
            <w:r>
              <w:rPr>
                <w:rFonts w:ascii="Times New Roman"/>
                <w:b w:val="false"/>
                <w:i w:val="false"/>
                <w:color w:val="000000"/>
                <w:sz w:val="20"/>
              </w:rPr>
              <w:t>"электронного правительства"</w:t>
            </w:r>
          </w:p>
        </w:tc>
      </w:tr>
    </w:tbl>
    <w:bookmarkStart w:name="z198" w:id="190"/>
    <w:p>
      <w:pPr>
        <w:spacing w:after="0"/>
        <w:ind w:left="0"/>
        <w:jc w:val="left"/>
      </w:pPr>
      <w:r>
        <w:rPr>
          <w:rFonts w:ascii="Times New Roman"/>
          <w:b/>
          <w:i w:val="false"/>
          <w:color w:val="000000"/>
        </w:rPr>
        <w:t xml:space="preserve"> Заявка на предоставление учетной записи пользователя архитектурного портала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0"/>
              <w:ind w:left="0"/>
              <w:jc w:val="both"/>
            </w:pPr>
            <w:r>
              <w:rPr>
                <w:rFonts w:ascii="Times New Roman"/>
                <w:b/>
                <w:i w:val="false"/>
                <w:color w:val="000000"/>
              </w:rPr>
              <w:t xml:space="preserve"> </w:t>
            </w:r>
            <w:r>
              <w:rPr>
                <w:rFonts w:ascii="Times New Roman"/>
                <w:b/>
                <w:i w:val="false"/>
                <w:color w:val="000000"/>
              </w:rPr>
              <w:t>Полное наименование организации</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Структурное подразделение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0"/>
              <w:ind w:left="0"/>
              <w:jc w:val="both"/>
            </w:pPr>
            <w:r>
              <w:rPr>
                <w:rFonts w:ascii="Times New Roman"/>
                <w:b/>
                <w:i w:val="false"/>
                <w:color w:val="000000"/>
              </w:rPr>
              <w:t xml:space="preserve"> Фамилия, имя, отчество (при его наличии) ответственного лица</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0"/>
              <w:ind w:left="0"/>
              <w:jc w:val="both"/>
            </w:pPr>
            <w:r>
              <w:rPr>
                <w:rFonts w:ascii="Times New Roman"/>
                <w:b/>
                <w:i w:val="false"/>
                <w:color w:val="000000"/>
              </w:rPr>
              <w:t xml:space="preserve"> Контактный номер телефона; Адрес электронной рабочей почты пользователя (логин)</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0"/>
              <w:ind w:left="0"/>
              <w:jc w:val="both"/>
            </w:pPr>
            <w:r>
              <w:rPr>
                <w:rFonts w:ascii="Times New Roman"/>
                <w:b/>
                <w:i w:val="false"/>
                <w:color w:val="000000"/>
              </w:rPr>
              <w:t xml:space="preserve"> Доступ (указать для каких целей)</w:t>
            </w:r>
          </w:p>
          <w:bookmarkEnd w:id="19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