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5c4d" w14:textId="bf05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августа 2019 года № 74. Зарегистрирован в Министерстве юстиции Республики Казахстан 14 августа 2019 года № 19245.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12717, опубликован 4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проектов  государственно-частного партнерства,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"Отраслевая экспертиза конкурсной документации проводится отраслевыми центральными государственными органами (по местным проектам, стоимость которых превышает четырехмиллионного месячного расчетного показателя и по республиканским проектам) либо местными отраслевыми государственными органами (по местным проектам, стоимость которых не превышает четырехмиллионного месячного расчетного показателя) в течение 10 (десяти) рабочих дней с момента внесения и включает оценку:";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проекта государственно-частного партнерства к проекту государственно-частного партнерства особой значимости,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реализация проекта ГЧП планируется по объектам (существующим или предполагаемым к строительству), относящимся к республиканской собственности, или коммунальной собственности по строительству линий легкорельсового транспорта расположенного в городе республиканского значения, и/или получателями экономических выгод от реализации данных проектов ГЧП являются субъекты двух и более областей, городов республиканского значения и столицы;".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