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5c4d" w14:textId="bf05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августа 2019 года № 74. Зарегистрирован в Министерстве юстиции Республики Казахстан 14 августа 2019 года № 19245.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 (зарегистрирован в Реестре государственной регистрации нормативных правовых актов за № 12717, опубликован 4 февраля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реализации проектов  государственно-частного партнерства,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"Отраслевая экспертиза конкурсной документации проводится отраслевыми центральными государственными органами (по местным проектам, стоимость которых превышает четырехмиллионного месячного расчетного показателя и по республиканским проектам) либо местными отраслевыми государственными органами (по местным проектам, стоимость которых не превышает четырехмиллионного месячного расчетного показателя) в течение 10 (десяти) рабочих дней с момента внесения и включает оценку:";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проекта государственно-частного партнерства к проекту государственно-частного партнерства особой значимости, утвержденных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реализация проекта ГЧП планируется по объектам (существующим или предполагаемым к строительству), относящимся к республиканской собственности, или коммунальной собственности по строительству линий легкорельсового транспорта расположенного в городе республиканского значения, и/или получателями экономических выгод от реализации данных проектов ГЧП являются субъекты двух и более областей, городов республиканского значения и столицы;".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