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2d18" w14:textId="41f2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Правления Национального Банка Республики Казахстан от 29 октября 2018 года № 248 "Об утверждении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представления и рассмотрения уведомления об итогах погашения негосударственных облигаций, аннулирования выпуска негосударственных облигаций,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рассмотрения уведомления об итогах погашения негосударственных облигаций, Перечня документов для аннулирования выпуска негосударственных облигаций и требований к ним,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уведомления об итогах погашения негосударственных облигаций"</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июля 2019 года № 128. Зарегистрировано в Министерстве юстиции Республики Казахстан 31 июля 2019 года № 19137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Настоящее постановление вводится в действие с 01 июля 2019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Правление Национального Банка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248 "Об утверждении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представления и рассмотрения уведомления об итогах погашения негосударственных облигаций, аннулирования выпуска негосударственных облигаций,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рассмотрения уведомления об итогах погашения негосударственных облигаций, Перечня документов для аннулирования выпуска негосударственных облигаций и требований к ним,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уведомления об итогах погашения негосударственных облигаций" (зарегистрировано в Реестре государственной регистрации нормативных правовых актов Республики Казахстан под № 17884, опубликовано 19 февраля 2019 года в газете "Казахстанская правда" № 33 (28910) следующее изменение:</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представления и рассмотрения уведомления </w:t>
      </w:r>
      <w:r>
        <w:rPr>
          <w:rFonts w:ascii="Times New Roman"/>
          <w:b w:val="false"/>
          <w:i w:val="false"/>
          <w:color w:val="000000"/>
          <w:sz w:val="28"/>
        </w:rPr>
        <w:t>об итогах погашения негосударственных облигаций, аннулирования выпуска негосударственных облигаций,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0" w:id="3"/>
    <w:p>
      <w:pPr>
        <w:spacing w:after="0"/>
        <w:ind w:left="0"/>
        <w:jc w:val="both"/>
      </w:pPr>
      <w:r>
        <w:rPr>
          <w:rFonts w:ascii="Times New Roman"/>
          <w:b w:val="false"/>
          <w:i w:val="false"/>
          <w:color w:val="000000"/>
          <w:sz w:val="28"/>
        </w:rPr>
        <w:t>
      "10. При осуществлении эмитентом выпуска облигаций (облигационной программы) с соблюдением требования к величине левереджа, данная величина рассчитывается на основании данных финансовой отчетности эмитента по состоянию на конец последнего квартала перед подачей документов на государственную регистрацию выпуска облигаций (облигационной программы), является положительной величиной и не превышает:</w:t>
      </w:r>
    </w:p>
    <w:bookmarkEnd w:id="3"/>
    <w:bookmarkStart w:name="z11" w:id="4"/>
    <w:p>
      <w:pPr>
        <w:spacing w:after="0"/>
        <w:ind w:left="0"/>
        <w:jc w:val="both"/>
      </w:pPr>
      <w:r>
        <w:rPr>
          <w:rFonts w:ascii="Times New Roman"/>
          <w:b w:val="false"/>
          <w:i w:val="false"/>
          <w:color w:val="000000"/>
          <w:sz w:val="28"/>
        </w:rPr>
        <w:t>
      1) 7 (семи) - для эмитента, не являющегося банком или организацией, осуществляющей отдельные виды банковских операций, за исключением случая, предусмотренного подпунктом 2) настоящего пункта;</w:t>
      </w:r>
    </w:p>
    <w:bookmarkEnd w:id="4"/>
    <w:bookmarkStart w:name="z12" w:id="5"/>
    <w:p>
      <w:pPr>
        <w:spacing w:after="0"/>
        <w:ind w:left="0"/>
        <w:jc w:val="both"/>
      </w:pPr>
      <w:r>
        <w:rPr>
          <w:rFonts w:ascii="Times New Roman"/>
          <w:b w:val="false"/>
          <w:i w:val="false"/>
          <w:color w:val="000000"/>
          <w:sz w:val="28"/>
        </w:rPr>
        <w:t>
      2) 10 (десяти) - для эмитента при выпуске облигаций, проспектом выпуска которых предусмотрена возможность конвертирования данных облигаций в акции в случае дефолта по ним.</w:t>
      </w:r>
    </w:p>
    <w:bookmarkEnd w:id="5"/>
    <w:bookmarkStart w:name="z13" w:id="6"/>
    <w:p>
      <w:pPr>
        <w:spacing w:after="0"/>
        <w:ind w:left="0"/>
        <w:jc w:val="both"/>
      </w:pPr>
      <w:r>
        <w:rPr>
          <w:rFonts w:ascii="Times New Roman"/>
          <w:b w:val="false"/>
          <w:i w:val="false"/>
          <w:color w:val="000000"/>
          <w:sz w:val="28"/>
        </w:rPr>
        <w:t xml:space="preserve">
      При осуществлении организацией, специализирующейся на улучшении качества кредитных портфелей банков второго уровня, выпуска облигаций (облигационной программы) с соблюдением требования к величине левереджа, данная величина рассчитывается на основании данных финансовой отчетности организации, специализирующейся на улучшении качества кредитных портфелей банков второго уровня, по состоянию на конец последнего квартала перед подачей документов на государственную регистрацию выпуска облигаций (облигационной программы), и не превышает 10 (десяти).". </w:t>
      </w:r>
    </w:p>
    <w:bookmarkEnd w:id="6"/>
    <w:bookmarkStart w:name="z14" w:id="7"/>
    <w:p>
      <w:pPr>
        <w:spacing w:after="0"/>
        <w:ind w:left="0"/>
        <w:jc w:val="both"/>
      </w:pPr>
      <w:r>
        <w:rPr>
          <w:rFonts w:ascii="Times New Roman"/>
          <w:b w:val="false"/>
          <w:i w:val="false"/>
          <w:color w:val="000000"/>
          <w:sz w:val="28"/>
        </w:rPr>
        <w:t>
      2. Департаменту методологии и регулирования финансовых организаций в установленном законодательством Республики Казахстан порядке обеспечить:</w:t>
      </w:r>
    </w:p>
    <w:bookmarkEnd w:id="7"/>
    <w:bookmarkStart w:name="z15" w:id="8"/>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8"/>
    <w:bookmarkStart w:name="z16" w:id="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9"/>
    <w:bookmarkStart w:name="z17" w:id="10"/>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0"/>
    <w:bookmarkStart w:name="z18" w:id="11"/>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и 3) настоящего пункта и пунктом 3 настоящего постановления.</w:t>
      </w:r>
    </w:p>
    <w:bookmarkEnd w:id="11"/>
    <w:bookmarkStart w:name="z19" w:id="12"/>
    <w:p>
      <w:pPr>
        <w:spacing w:after="0"/>
        <w:ind w:left="0"/>
        <w:jc w:val="both"/>
      </w:pPr>
      <w:r>
        <w:rPr>
          <w:rFonts w:ascii="Times New Roman"/>
          <w:b w:val="false"/>
          <w:i w:val="false"/>
          <w:color w:val="000000"/>
          <w:sz w:val="28"/>
        </w:rPr>
        <w:t>
      3. Департаменту внешних коммуникаций - пресс-службе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2"/>
    <w:bookmarkStart w:name="z20" w:id="13"/>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13"/>
    <w:bookmarkStart w:name="z21" w:id="14"/>
    <w:p>
      <w:pPr>
        <w:spacing w:after="0"/>
        <w:ind w:left="0"/>
        <w:jc w:val="both"/>
      </w:pPr>
      <w:r>
        <w:rPr>
          <w:rFonts w:ascii="Times New Roman"/>
          <w:b w:val="false"/>
          <w:i w:val="false"/>
          <w:color w:val="000000"/>
          <w:sz w:val="28"/>
        </w:rPr>
        <w:t>
      5. Настоящее постановление вводится в действие с 01 июля 2019 года и подлежит официальному опубликованию.</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