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401" w14:textId="bde8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руководящего документа в строительстве Республики Казахстан 8.02-01-2019 "Определение стоимости разработки или переработки государственных нормативов в области архитектурной, градостроительной и строительной деятельности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25 июня 2019 года № 103-нқ. Зарегистрирован в Министерстве юстиции Республики Казахстан 1 июля 2019 года № 18945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ведомств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руководящий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в строительстве Республики Казахстан 8.02-01-2019 "Определение стоимости разработки или переработки государственных нормативов в области архитектурной, градостроительной и строительной деятельности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Жайымбетов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103-нқ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Руководящий документ в строительстве Республики Казахстан 8.02-01-2019 "Определение стоимости разработки (переработки) государственных нормативов в области архитектурной, градостроительной и строительной деятельности Республики Казахстан"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руководящий документ в строительстве Республики Казахстан 8.02-01-2019 "Определение стоимости разработки (переработки) государственных нормативов в области архитектурной, градостроительной и строительной деятельности Республики Казахстан" (далее – Руководящий документ)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(далее – Закон).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Руководящего документа используются при определении стоимости разработки (переработки) государственных нормативов в области архитектуры, градостроительства, строительства (далее – государственные нормативы) за счет средств государственных инвестиции и квазигосударственного сектора.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стоимости разработки (переработки) государственных нормативов производится при составлении бюджетных заявок, планов, программ и оказания услуг по гражданско-правовым договорам.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работ, определяемая согласно положениям настоящего Руководящего документа, предусматривает проведение всего комплекса работ по разработке (переработке), оформлению, согласованию и подготовке к принятию государственных нормативов.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разработки (переработки) государственных нормативов определяют исходя из трудоемкости их разработки (переработки), квалифицированным составом исполнителей, уровня оплаты труда, новизны, сложности и объема государственных нормативов, обязательных отчислений и платежей в государственный бюджет, установленных законодательством Республики Казахстан и затрат на проведение экспертной оценки.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трудоемкости разработки (переработки) государственного норматива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Нормативная трудоемкость на разработку (переработку) государственных нормативов, а также требуемые для их выполнения квалификации специалистов – разработчиков и экспертов (удельный вес участия) приведены в таблице 1 приложения к настоящему Руководящему документу.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трудоемкость, в настоящем Руководящем документе понимается количество рабочего времени, затраченного на разработку (переработку) одного государственного норматива.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Нормативная трудоемкость разработки (переработки) государственных нормативов, основана на установившемся среднестатистическом подходе к оценке его сложности, в частности наукоемкости, определенной путем суммирования величин среднестатистической нормативной трудоемкости специалистов и принимаемой по таблице 2 приложения к настоящему Руководящему документу.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определению трудоемкости разработки (переработки) государственного норматива входят все этапы разработки (переработки) норматива, за исключением технического задания подготавливаемого заказчиком до заключения договора на разработку норматива.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Трудоемкость разработки (переработки) государственного норматива Т</w:t>
      </w:r>
      <w:r>
        <w:rPr>
          <w:rFonts w:ascii="Times New Roman"/>
          <w:b w:val="false"/>
          <w:i w:val="false"/>
          <w:color w:val="000000"/>
          <w:vertAlign w:val="subscript"/>
        </w:rPr>
        <w:t>р.н</w:t>
      </w:r>
      <w:r>
        <w:rPr>
          <w:rFonts w:ascii="Times New Roman"/>
          <w:b w:val="false"/>
          <w:i w:val="false"/>
          <w:color w:val="000000"/>
          <w:sz w:val="28"/>
        </w:rPr>
        <w:t>, человек в месяц, определяется по следующей формуле: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р.н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q</w:t>
      </w:r>
      <w:r>
        <w:rPr>
          <w:rFonts w:ascii="Times New Roman"/>
          <w:b w:val="false"/>
          <w:i w:val="false"/>
          <w:color w:val="000000"/>
          <w:vertAlign w:val="subscript"/>
        </w:rPr>
        <w:t>сл</w:t>
      </w:r>
      <w:r>
        <w:rPr>
          <w:rFonts w:ascii="Times New Roman"/>
          <w:b w:val="false"/>
          <w:i w:val="false"/>
          <w:color w:val="000000"/>
          <w:sz w:val="28"/>
        </w:rPr>
        <w:t xml:space="preserve"> х q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х q</w:t>
      </w:r>
      <w:r>
        <w:rPr>
          <w:rFonts w:ascii="Times New Roman"/>
          <w:b w:val="false"/>
          <w:i w:val="false"/>
          <w:color w:val="000000"/>
          <w:vertAlign w:val="subscript"/>
        </w:rPr>
        <w:t>нов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нормативная трудоемкость разработки (переработки) государственного норматива конкретного вида, основанная на установившемся среднестатистическом подходе к оценке его сложности, в частности наукоемкости, человек в месяц;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сложности разрабатываемого (перерабатываемого) норматива;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учитывающий число страниц государственного норматива;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новизны разрабатываемого (перерабатываемого) государственного норматива.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сложности разработки (переработки) государственного норматива q</w:t>
      </w:r>
      <w:r>
        <w:rPr>
          <w:rFonts w:ascii="Times New Roman"/>
          <w:b w:val="false"/>
          <w:i w:val="false"/>
          <w:color w:val="000000"/>
          <w:vertAlign w:val="subscript"/>
        </w:rPr>
        <w:t>сл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вида государственного норматива может иметь два значения: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0,81 – для государственных нормативов, содержащих расчеты, формулы, таблицы, графики и так далее;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0,73 - для государственных нормативов, содержащих только текст.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q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учитывающий число страниц (Microsoft Word формат А-4, шрифт – 12, межстрочный интервал 1,0 (не менее 2000 печатных знаков) разрабатываемого (перерабатываемого) государственного норматива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Руководящему документу.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Значение коэффициента, учитывающего степень новизны разрабатываемого (перерабатываемого) государственного норматива принимается по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Руководящему документу.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трудоемкости по этапам разработки (переработки) проекта государственного норматива: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- заключение договоров, сбор информации, подготовка программы работ и так далее;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65% - разработка и рассылка на отзыв проекта первой редакции проекта государственного норматива, в том числе, 5% - на обязательные экспертные заключения ведущих профильных проектных организаций на договорной основе;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 разработка, согласование и представление окончательной редакции проекта государственного норматива для утверждения и принятия.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разработки (переработки) государственных нормативов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разработки (переработки) государственных нормативов всех видов и групп сложности рассчитывают по следующей формуле: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З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х Т</w:t>
      </w:r>
      <w:r>
        <w:rPr>
          <w:rFonts w:ascii="Times New Roman"/>
          <w:b w:val="false"/>
          <w:i w:val="false"/>
          <w:color w:val="000000"/>
          <w:vertAlign w:val="subscript"/>
        </w:rPr>
        <w:t>р.н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разработки (переработки) государственных нормативов,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среднемесячная заработная плата специалистов, участвующих в разработке (переработке) государственного норматива рассчитывается по формуле указанном в пункте 17 настоящего Руководящего документа;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р.н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трудоемкость разработки (переработки) государственного норматива, определенная по формуле указанном в пункте 10 настоящего Руководящего документа, человек в месяц;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косвенных расходов организации, осуществляющей разработку (переработку) государственного норматива (накладные, эксплуатационные, материальные и прочие расходы). Коэффициент также учитывает обязательные отчисления и платежи в государственный бюджет, включая налог на добавленную стоимость. В расчетах принимается равным 2,9;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по установлению аутентичности текстов государственных нормативов.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Среднемесячный фонд оплаты труда определяется на основе фактической среднемесячной заработной платы в профессиональной, научной и технической деятельности, коэффициента фонда оплаты труда специалиста, удельного веса участия специалиста в разработке (переработке) государственного норматива в соответствии с учетом удельного веса участия исполнителей по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Руководящему документу.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Среднемесячная заработная плата инженерно-технического персонала рассчитывается на основе фактической среднемесячной заработной платы в профессиональной, научной и технической деятельности, коэффициента фонда оплаты труда специалиста, удельного веса участия специалиста в разработке (переработке) государственного норматива по таблице 5 приложения к настоящему Руководящему документу и расходов на оплату труда административно-хозяйственного персонала в размере 16 % от фонда оплаты труда основного производственного персонала по формуле: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 (2,0х0,1 + 1,5х0,2 + 1,3х0,3 + 1,0х0,4)хЗ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>х1,16хМРП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>/МРП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 xml:space="preserve"> = 1,497хЗ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>хМРП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>/МРП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З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среднемесячная заработная плата в профессиональной, научной и технической деятельности, принимается по официальным данным уполномоченного государственного органа по статистике, за год предшествующий дате определения стоимости разработки (переработки) государственного норматива,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минимальный расчетный показатель, установленный для года, в течение которого планируется разработка (переработка) государственного норматива;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</w:t>
      </w:r>
      <w:r>
        <w:rPr>
          <w:rFonts w:ascii="Times New Roman"/>
          <w:b w:val="false"/>
          <w:i w:val="false"/>
          <w:color w:val="000000"/>
          <w:vertAlign w:val="subscript"/>
        </w:rPr>
        <w:t>фср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минимальный расчетный показатель, соответствующий году принятия для расчета значения среднемесячной заработной платы в строительной отрасли.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Стоимость услуг по установлению аутентичности государственных нормативов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Стоимость услуг по установлению аутентичности текстов государственных нормативов на казахском и русском языках рассчитывается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0,879 x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x З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/163,3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по установлению аутентичности текстов государственных нормативов;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0,879 – коэффициент перевода документа, являющийся нормой времени на перевод полного письменного перевода одного печатного листа;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страниц перевода (Microsoft Word формат А-4, шрифт – 12, межстрочный интервал 1,0 (не менее 2000 печатных знаков). При количестве печатных знаков с указанными параметрами менее 2000, значение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наполовину;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163,3 – среднее количество рабочих часов в месяц.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8.02-01-2019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Нормативная трудоемкость на разработку (переработку) государственного норматива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6048"/>
        <w:gridCol w:w="1288"/>
        <w:gridCol w:w="735"/>
      </w:tblGrid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Квалификация специалиста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Содержательная часть работы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Нормативная трудоемкость Tн, чел./мес*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 участия
</w:t>
            </w:r>
          </w:p>
        </w:tc>
      </w:tr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подразделения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работой, управление проектом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Руководитель группы – специалист-разработчик в конкретной предметной области при разработке государственного норматива, определяемый согласно классификации в соответствии с действующими нормативными документами в области архитектурной, градостроительной и строительной деятельности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новых терминов и семантических конструкций, разработка требований к объектам нормирования и научное редактирование с учетом гармонизации разрабатываемого (перерабатываемого) норматива с международными нормами и стандартами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Специалист-разработчик в области стандартизации и нормотворчества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корректировка текста. Соответствие требований разрабатываемого (перерабатываемого) норматива положениям Национальной системы технического нормирования и гармонизация с введенными в действие государственными (национальными) и межгосударственными нормативами (стандартами), включая обеспечение терминологического единства и разработки предложений по внесению изменений в действующие государственные (межгосударственные) нормативы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Менеджер 1-й категории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основного раздела проекта, выполнение работ по комплектации текстов и подготовка редакции проекта норматива с графическими материалами и методикой расчета, внесение изменений и дополнений.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Нормативная трудоемкость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Нормативная трудоемкость разработки (переработки) государственных нормативов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1564"/>
        <w:gridCol w:w="1564"/>
        <w:gridCol w:w="1564"/>
        <w:gridCol w:w="1564"/>
        <w:gridCol w:w="1565"/>
      </w:tblGrid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государственного норматива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Нормативная трудоемкость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Tн, человек в месяц (Т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среднестатистическая нормативная трудоемкость специалистов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градостроительные нормативы и регламенты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нормы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Своды правил по проектированию и строительству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технологического проектирования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 документы в строительстве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пособия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документы и рекомендации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нормы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сметных цен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государственного архитектурно-строительного контроля и надзора, оценки соответствия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Значения коэффициента, учитывающего объем (число страниц) разрабатываемого (перерабатываемого) государственного норматива q</w:t>
      </w:r>
      <w:r>
        <w:rPr>
          <w:rFonts w:ascii="Times New Roman"/>
          <w:b/>
          <w:i w:val="false"/>
          <w:color w:val="000000"/>
          <w:vertAlign w:val="subscript"/>
        </w:rPr>
        <w:t>об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974"/>
        <w:gridCol w:w="1237"/>
        <w:gridCol w:w="1237"/>
        <w:gridCol w:w="1237"/>
        <w:gridCol w:w="1237"/>
        <w:gridCol w:w="1237"/>
        <w:gridCol w:w="1237"/>
        <w:gridCol w:w="1465"/>
        <w:gridCol w:w="1918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101-150*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qоб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объеме государственного норматива свыше 150 страниц, на каждые последующие 10 страниц к коэффициенту 1,75 следует прибавлять 0,1.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Значение коэффициента, учитывающий степень новизны разрабатываемого (перерабатываемого) государственного норматива q</w:t>
      </w:r>
      <w:r>
        <w:rPr>
          <w:rFonts w:ascii="Times New Roman"/>
          <w:b/>
          <w:i w:val="false"/>
          <w:color w:val="000000"/>
          <w:vertAlign w:val="subscript"/>
        </w:rPr>
        <w:t>нов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7"/>
        <w:gridCol w:w="3033"/>
      </w:tblGrid>
      <w:tr>
        <w:trPr>
          <w:trHeight w:val="30" w:hRule="atLeast"/>
        </w:trPr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работ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 qнов
</w:t>
            </w:r>
          </w:p>
        </w:tc>
      </w:tr>
      <w:tr>
        <w:trPr>
          <w:trHeight w:val="30" w:hRule="atLeast"/>
        </w:trPr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государственного норматива с гармонизацией с международными и (или) межгосударственными нормативами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государственного норматива с использованием до 30% содержания существующего государственного норматива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 использованием от 30% до 60% содержания существующего государственного норматива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 использованием свыше 60% содержания существующего государственного норматива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Среднемесячный фонд оплаты труда при разработке (переработке) государственных нормативов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080"/>
        <w:gridCol w:w="6985"/>
        <w:gridCol w:w="2739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 исполнителя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 фонда оплаты труда специалиста к фактической среднемесячной заработной плате в профессиональной, научной и технической отрасли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 участия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