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f27b" w14:textId="caaf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2015 года № 250 "Об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17 июня 2019 года № 403. Зарегистрирован в Министерстве юстиции Республики Казахстан 18 июня 2019 года № 18857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250 "Об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Казахстан" (зарегистрирован в Реестре государственной регистрации нормативных правовых актов № 10629, опубликован 7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и отдыха членов экипажей воздушных судов гражданской и экспериментальной авиации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рабочего времени и отдыха членов экипажей воздушных судов гражданской и экспериментальной авиации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Эксплуатант в срок не позднее 28 (двадцати восьми) календарных дней после продления, уведомляет уполномоченную организацию в сфере гражданской авиации о произведенном по решению эксплуатанта продлении максимального суточного полетного рабочего времени, с указанием причин принятия такого решения.";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Если увеличение полетного рабочего времени или сокращение времени отдыха членов экипажа превышает 1 (один) час, эксплуатант с приложением копии отчета командира воздушного судна и указанием причин принятого решения уведомляет об этом уполномоченную организацию в сфере гражданской авиации в срок не позднее 28 (двадцати восьми) календарных дней со дня наступления указанных событий.".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2019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