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9bba" w14:textId="8ac9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12 февраля 2018 года № 166 "Об утверждении форм налоговой отчетности и правил их составления"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29 мая 2019 года № 505. Зарегистрирован в Министерстве юстиции Республики Казахстан 30 мая 2019 года № 18748. Утратил силу приказом Министра финансов РК от 24.12.2024 № 869.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24.12.2024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166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16448, опубликован 16 марта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составления налоговой отчетности "Декларация по налогу на добавленную стоимость (форма 300.00)",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"54. Данная форма предназначена для детального отражения сведений по суммам НДС, предъявленным к возврату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429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второй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строке 300.09.001 I указывается сумма превышения НДС, предъявленная к возврату, образовавшаяся по оборотам, облагаемым по нулевой ставке, за исключением сумм превышения НДС, указанных в строках 300.09.001 II, 300.09.001 III, 300.09.001 IV, 300.09.001 V, 300.09.001 VI, в том числе с разбивкой по налоговым периодам в пределах срока исковой давности.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строка также заполняется в случае отказа от применения порядка возврата НДС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части второй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 строке 300.09.001 VI указывается сумма превышения НДС, подлежащая возврату в соответствии с пунктом 5 статьи 429 Налогового кодекса, оставшаяся после применения упрощенного порядка возврата НДС, в соответствии со статьей 434 Налогового кодекса, в том числе с разбивкой по налоговым периодам в пределах срока исковой давности.";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составления налоговой отчетности "Декларация по налогу на транспортные средства, по земельному налогу и налогу на имущество (форма 700.00)",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Кодах налоговых льгот: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по взлетно-посадочным полосам на аэродромах и терминалам аэропортов, за исключением взлетно-посадочных полос на аэродромах и терминалов аэропортов городов Нур-Султан и Алматы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56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составления налоговой отчетности "Декларация по налогу на игорный бизнес и фиксированному налогу (форма 710.00)",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составления налоговой отчетности "Декларация по налогу на игорный бизнес и фиксированному налогу (форма 710.00)"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и определяют порядок составления формы налоговой отчетности "Декларация по налогу на игорный бизнес и фиксированному налогу" (далее – декларация), предназначенной для исчисления налога на игорный бизнес и фиксированного налога, а также по налогу на добавленную стоимость. Декларация составляется: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лицами, осуществляющими деятельность в сфере игорного бизнеса,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а также являющимися плательщиками налога на добавленную стоимость;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организациями, а также индивидуальными предпринимателями и юридическими лицами, осуществляющими деятельность по оказанию услуг, облагаемых фиксированным налогом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 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категория плательщика.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плательщик налога на игорный бизнес в соответствии со статьей 534 Налогового кодекса;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плательщик фиксированного налога в соответствии со статьей 544 Налогового кодекса;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– налогоплательщик по которому произведена постановка на регистрационный учет по налогу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налогоплательщик одновременно является плательщиком налога на игорный бизнес и фиксированного налога отмечаются обе ячейки А и В;";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поле "Фамилия, имя, отчество (при его наличии) налогоплательщика (руководителя)" указывается фамилия, имя, отчество (при его наличии) руководителя в соответствии с учредительными документами. В случае если декларация представляется физическим лицом, в поле указывается фамилия, имя, отчество (при его наличии) налогоплательщика, которые заполняются в соответствии с документами, удостоверяющими личность;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подачи декларации – дата представления декларации в орган государственных доходов;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органа государственных доходов – код органа государственных доходов по месту регистрационного учета в качестве налогоплательщика, осуществляющего отдельные виды деятельности;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указывается код органа государственных доходов по месту нахождения налогоплательщика;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"Фамилия, имя, отчество (при его наличии) должностного лица, принявшего декларацию" указывается фамилия, имя, отчество (при его наличии) работника органа государственных доходов, принявшего декларацию;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приема декларации – дата представления декларации в соответствии с пунктом 2 статьи 209 Налогового кодекса;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входящий номер документа – регистрационный номер декларации, присваиваемый органом государственных доходов;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почтового штемпеля – дата почтового штемпеля, проставленного почтовой или иной организацией связи.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5), 6) и 7) настоящего пункта заполняются работником органа государственных доходов, принявшим декларацию на бумажном носителе.";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В разделе "Налог на добавленную стоимость по игорному бизнесу":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710.01.013 указывается облагаемый оборот, определяемый в размере дохода, полученного за налоговый период в результате осуществления деятельности по оказанию услуг казино, зала игровых автоматов, тотализатора и букмекерской конторы;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710.01.014 указывается налог на добавленную стоимость по облагаемому обороту, отраженному в строке 710.01.013;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710.01.015 указывается налог на добавленную стоимость, разрешенный к отнесению в зачет и определяемый в размере 85 % от суммы налога на добавленную стоимость по облагаемому обороту, указанному в строке 710.01.014;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710.01.016 указывается, исчисленная сумма налога на добавленную стоимость, которая определяется как разница строк 710.01.014 и 710.01.015.".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Первый заместитель Премьер-Министра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Премьера-Министра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2019 года № 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2018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69342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340600" cy="1068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493000" cy="1093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93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251700" cy="1060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