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ad5b" w14:textId="dfaa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гастроэнтерологической и гепатологической помощи в Республике Казахстан и о признании утратившими силу некоторых приказов исполняющего обязанности Министра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4 мая 2019 года № ҚР ДСМ-63. Зарегистрирован в Министерстве юстиции Республики Казахстан 8 мая 2019 года № 18647. Утратил силу приказом и.о. Министра здравоохранения Республики Казахстан от 29 марта 2023 года № 48.</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29.03.2023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гастроэнтерологической и гепатологической помощи в Республике Казахстан.</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17 февраля 2012 года № 92 "Об утверждении Правил обследования и лечения больных вирусными гепатитами" (зарегистрирован в Реестре государственной регистрации нормативных правовых актов под № 7479, опубликован 22 мая 2012 года в газете "Юридическая газета" № 72 (2254));</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11 февраля 2014 года № 78 "Об утверждении Положения о деятельности организаций здравоохранения, оказывающих гастроэнтерологическую и гепатологическую помощь населению Республики Казахстан" (зарегистрирован в Реестре государственной регистрации нормативных правовых актов под № 9273, опубликован 31 июля 2014 года в газете "Казахстанская правда" № 147 (27765)).</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Актаеву Л.М.</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2019 года</w:t>
            </w:r>
            <w:r>
              <w:br/>
            </w:r>
            <w:r>
              <w:rPr>
                <w:rFonts w:ascii="Times New Roman"/>
                <w:b w:val="false"/>
                <w:i w:val="false"/>
                <w:color w:val="000000"/>
                <w:sz w:val="20"/>
              </w:rPr>
              <w:t>№ ҚР ДСМ-63</w:t>
            </w:r>
          </w:p>
        </w:tc>
      </w:tr>
    </w:tbl>
    <w:bookmarkStart w:name="z18" w:id="13"/>
    <w:p>
      <w:pPr>
        <w:spacing w:after="0"/>
        <w:ind w:left="0"/>
        <w:jc w:val="left"/>
      </w:pPr>
      <w:r>
        <w:rPr>
          <w:rFonts w:ascii="Times New Roman"/>
          <w:b/>
          <w:i w:val="false"/>
          <w:color w:val="000000"/>
        </w:rPr>
        <w:t xml:space="preserve"> Стандарт организации оказания гастроэнтерологической и гепатологической помощи в Республике Казахстан</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1. Настоящий Стандарт организации оказания гастроэнтерологической и гепатологической помощи населению Республики Казахстан (далее – Стандарт) устанавливает положения, общие принципы и характеристики в сфере оказания гастроэнтерологической и гепатологической помощи пациентам с заболеваниями органов пищеварения терапевтического профиля.</w:t>
      </w:r>
    </w:p>
    <w:bookmarkEnd w:id="15"/>
    <w:bookmarkStart w:name="z21" w:id="16"/>
    <w:p>
      <w:pPr>
        <w:spacing w:after="0"/>
        <w:ind w:left="0"/>
        <w:jc w:val="both"/>
      </w:pPr>
      <w:r>
        <w:rPr>
          <w:rFonts w:ascii="Times New Roman"/>
          <w:b w:val="false"/>
          <w:i w:val="false"/>
          <w:color w:val="000000"/>
          <w:sz w:val="28"/>
        </w:rPr>
        <w:t>
      2. Гастроэнтерологическая и гепатологическая помощь включает терапевтическую помощь и малоинвазивные (интервенционные) диагностические и лечебные манипуляции пациентам с заболеваниями органов пищеварения.</w:t>
      </w:r>
    </w:p>
    <w:bookmarkEnd w:id="16"/>
    <w:bookmarkStart w:name="z22" w:id="17"/>
    <w:p>
      <w:pPr>
        <w:spacing w:after="0"/>
        <w:ind w:left="0"/>
        <w:jc w:val="both"/>
      </w:pPr>
      <w:r>
        <w:rPr>
          <w:rFonts w:ascii="Times New Roman"/>
          <w:b w:val="false"/>
          <w:i w:val="false"/>
          <w:color w:val="000000"/>
          <w:sz w:val="28"/>
        </w:rPr>
        <w:t>
      3. Гастроэнтерологическая и гепатологическая помощь оказывается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в формах амбулаторно-поликлинической и стационарной помощи в виде специализированной помощи и оказания высокотехнологичных медицинских услуг (далее – ВТМУ) в соответствии с клиническими протоколами диагностики и лечения, одобренными объединенной комиссией по качеству медицинских услуг при уполномоченном органе в области здравоохранения (далее – Клинические протоколы).</w:t>
      </w:r>
    </w:p>
    <w:bookmarkEnd w:id="17"/>
    <w:bookmarkStart w:name="z23" w:id="18"/>
    <w:p>
      <w:pPr>
        <w:spacing w:after="0"/>
        <w:ind w:left="0"/>
        <w:jc w:val="both"/>
      </w:pPr>
      <w:r>
        <w:rPr>
          <w:rFonts w:ascii="Times New Roman"/>
          <w:b w:val="false"/>
          <w:i w:val="false"/>
          <w:color w:val="000000"/>
          <w:sz w:val="28"/>
        </w:rPr>
        <w:t>
      4. Координация гастроэнтерологической и гепатологической помощи, оказываемой медицинскими организациями, их структурными подразделениями, указанными в настоящем Стандарте, осуществляется республиканским координационным центром гастроэнтерологии, гепатологии и воспалительных заболеваний кишечника, создаваемом на базе подведомственной организации, определяемой уполномоченным органом в области здравоохранения.</w:t>
      </w:r>
    </w:p>
    <w:bookmarkEnd w:id="18"/>
    <w:bookmarkStart w:name="z24" w:id="19"/>
    <w:p>
      <w:pPr>
        <w:spacing w:after="0"/>
        <w:ind w:left="0"/>
        <w:jc w:val="both"/>
      </w:pPr>
      <w:r>
        <w:rPr>
          <w:rFonts w:ascii="Times New Roman"/>
          <w:b w:val="false"/>
          <w:i w:val="false"/>
          <w:color w:val="000000"/>
          <w:sz w:val="28"/>
        </w:rPr>
        <w:t>
      5. Гастроэнтерологическая и гепатологическая помощь оказывается на основе междисциплинарного взаимодействия врачей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с врачами по специальностям "Инфекционные болезни (взрослые)",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"Онкология (химиотерапия, маммология) (взрослая)", "Патологическая анатомия (цитопатология) (взрослая, детская)", "Лучевая диагностика (рентгенология, компьютерная и магнитно-резонансная томография, ультразвуковая диагностика, ядерная медицина)" и других смежных специальностей.</w:t>
      </w:r>
    </w:p>
    <w:bookmarkEnd w:id="19"/>
    <w:bookmarkStart w:name="z25" w:id="20"/>
    <w:p>
      <w:pPr>
        <w:spacing w:after="0"/>
        <w:ind w:left="0"/>
        <w:jc w:val="both"/>
      </w:pPr>
      <w:r>
        <w:rPr>
          <w:rFonts w:ascii="Times New Roman"/>
          <w:b w:val="false"/>
          <w:i w:val="false"/>
          <w:color w:val="000000"/>
          <w:sz w:val="28"/>
        </w:rPr>
        <w:t>
      6. Деятельность в области гастроэнтерологии и гепатологии осуществляется государственными органами и организациями здравоохранения во взаимодействии с профильными и иными общественными организациями.</w:t>
      </w:r>
    </w:p>
    <w:bookmarkEnd w:id="20"/>
    <w:bookmarkStart w:name="z26" w:id="21"/>
    <w:p>
      <w:pPr>
        <w:spacing w:after="0"/>
        <w:ind w:left="0"/>
        <w:jc w:val="left"/>
      </w:pPr>
      <w:r>
        <w:rPr>
          <w:rFonts w:ascii="Times New Roman"/>
          <w:b/>
          <w:i w:val="false"/>
          <w:color w:val="000000"/>
        </w:rPr>
        <w:t xml:space="preserve"> Глава 2. Общие принципы деятельности организаций здравоохранения, оказывающих гастроэнтерологическую и гепатологическую помощь</w:t>
      </w:r>
    </w:p>
    <w:bookmarkEnd w:id="21"/>
    <w:bookmarkStart w:name="z27" w:id="22"/>
    <w:p>
      <w:pPr>
        <w:spacing w:after="0"/>
        <w:ind w:left="0"/>
        <w:jc w:val="both"/>
      </w:pPr>
      <w:r>
        <w:rPr>
          <w:rFonts w:ascii="Times New Roman"/>
          <w:b w:val="false"/>
          <w:i w:val="false"/>
          <w:color w:val="000000"/>
          <w:sz w:val="28"/>
        </w:rPr>
        <w:t>
      7. К общим принципам деятельности организаций здравоохранения, оказывающих гастроэнтерологическую и гепатологическую помощь, относятся:</w:t>
      </w:r>
    </w:p>
    <w:bookmarkEnd w:id="22"/>
    <w:bookmarkStart w:name="z28" w:id="23"/>
    <w:p>
      <w:pPr>
        <w:spacing w:after="0"/>
        <w:ind w:left="0"/>
        <w:jc w:val="both"/>
      </w:pPr>
      <w:r>
        <w:rPr>
          <w:rFonts w:ascii="Times New Roman"/>
          <w:b w:val="false"/>
          <w:i w:val="false"/>
          <w:color w:val="000000"/>
          <w:sz w:val="28"/>
        </w:rPr>
        <w:t>
      1) организация и проведение мероприятий, направленных на первичную профилактику заболеваний органов пищеварения;</w:t>
      </w:r>
    </w:p>
    <w:bookmarkEnd w:id="23"/>
    <w:bookmarkStart w:name="z29" w:id="24"/>
    <w:p>
      <w:pPr>
        <w:spacing w:after="0"/>
        <w:ind w:left="0"/>
        <w:jc w:val="both"/>
      </w:pPr>
      <w:r>
        <w:rPr>
          <w:rFonts w:ascii="Times New Roman"/>
          <w:b w:val="false"/>
          <w:i w:val="false"/>
          <w:color w:val="000000"/>
          <w:sz w:val="28"/>
        </w:rPr>
        <w:t>
      2) диагностика заболеваний органов пищеварения;</w:t>
      </w:r>
    </w:p>
    <w:bookmarkEnd w:id="24"/>
    <w:bookmarkStart w:name="z30" w:id="25"/>
    <w:p>
      <w:pPr>
        <w:spacing w:after="0"/>
        <w:ind w:left="0"/>
        <w:jc w:val="both"/>
      </w:pPr>
      <w:r>
        <w:rPr>
          <w:rFonts w:ascii="Times New Roman"/>
          <w:b w:val="false"/>
          <w:i w:val="false"/>
          <w:color w:val="000000"/>
          <w:sz w:val="28"/>
        </w:rPr>
        <w:t>
      3) лечение заболеваний органов пищеварения с соблюдением преемственности на всех этапах;</w:t>
      </w:r>
    </w:p>
    <w:bookmarkEnd w:id="25"/>
    <w:bookmarkStart w:name="z31" w:id="26"/>
    <w:p>
      <w:pPr>
        <w:spacing w:after="0"/>
        <w:ind w:left="0"/>
        <w:jc w:val="both"/>
      </w:pPr>
      <w:r>
        <w:rPr>
          <w:rFonts w:ascii="Times New Roman"/>
          <w:b w:val="false"/>
          <w:i w:val="false"/>
          <w:color w:val="000000"/>
          <w:sz w:val="28"/>
        </w:rPr>
        <w:t>
      4) динамическое наблюдение за пациентами с заболеваниями органов пищеварения;</w:t>
      </w:r>
    </w:p>
    <w:bookmarkEnd w:id="26"/>
    <w:bookmarkStart w:name="z32" w:id="27"/>
    <w:p>
      <w:pPr>
        <w:spacing w:after="0"/>
        <w:ind w:left="0"/>
        <w:jc w:val="both"/>
      </w:pPr>
      <w:r>
        <w:rPr>
          <w:rFonts w:ascii="Times New Roman"/>
          <w:b w:val="false"/>
          <w:i w:val="false"/>
          <w:color w:val="000000"/>
          <w:sz w:val="28"/>
        </w:rPr>
        <w:t>
      5) профилактика прогрессирования и развития осложнений заболеваний органов пищеварения;</w:t>
      </w:r>
    </w:p>
    <w:bookmarkEnd w:id="27"/>
    <w:bookmarkStart w:name="z33" w:id="28"/>
    <w:p>
      <w:pPr>
        <w:spacing w:after="0"/>
        <w:ind w:left="0"/>
        <w:jc w:val="both"/>
      </w:pPr>
      <w:r>
        <w:rPr>
          <w:rFonts w:ascii="Times New Roman"/>
          <w:b w:val="false"/>
          <w:i w:val="false"/>
          <w:color w:val="000000"/>
          <w:sz w:val="28"/>
        </w:rPr>
        <w:t>
      6) ранняя диагностика злокачественных новообразований органов пищеварения;</w:t>
      </w:r>
    </w:p>
    <w:bookmarkEnd w:id="28"/>
    <w:bookmarkStart w:name="z34" w:id="29"/>
    <w:p>
      <w:pPr>
        <w:spacing w:after="0"/>
        <w:ind w:left="0"/>
        <w:jc w:val="both"/>
      </w:pPr>
      <w:r>
        <w:rPr>
          <w:rFonts w:ascii="Times New Roman"/>
          <w:b w:val="false"/>
          <w:i w:val="false"/>
          <w:color w:val="000000"/>
          <w:sz w:val="28"/>
        </w:rPr>
        <w:t>
      7) медицинская реабилитация пациентов с заболеваниями органов пищеварения.</w:t>
      </w:r>
    </w:p>
    <w:bookmarkEnd w:id="29"/>
    <w:bookmarkStart w:name="z35" w:id="30"/>
    <w:p>
      <w:pPr>
        <w:spacing w:after="0"/>
        <w:ind w:left="0"/>
        <w:jc w:val="left"/>
      </w:pPr>
      <w:r>
        <w:rPr>
          <w:rFonts w:ascii="Times New Roman"/>
          <w:b/>
          <w:i w:val="false"/>
          <w:color w:val="000000"/>
        </w:rPr>
        <w:t xml:space="preserve"> Глава 3. Общие характеристики организации оказания гастроэнтерологической и гепатологической помощи на амбулаторно-поликлиническом уровне</w:t>
      </w:r>
    </w:p>
    <w:bookmarkEnd w:id="30"/>
    <w:bookmarkStart w:name="z36" w:id="31"/>
    <w:p>
      <w:pPr>
        <w:spacing w:after="0"/>
        <w:ind w:left="0"/>
        <w:jc w:val="both"/>
      </w:pPr>
      <w:r>
        <w:rPr>
          <w:rFonts w:ascii="Times New Roman"/>
          <w:b w:val="false"/>
          <w:i w:val="false"/>
          <w:color w:val="000000"/>
          <w:sz w:val="28"/>
        </w:rPr>
        <w:t>
      8. Гастроэнтерологическая и гепатологическая помощь на амбулаторно-поликлиническом уровне оказывается в районной, номерной районной, городской поликлинике, консультативно-диагностическом центре, а также соответствующих подразделениях многопрофильных городских, областных, ведомственных, республиканских и иных организаций здравоохранения (далее – амбулаторно-поликлинические организации или подразделения).</w:t>
      </w:r>
    </w:p>
    <w:bookmarkEnd w:id="31"/>
    <w:bookmarkStart w:name="z37" w:id="32"/>
    <w:p>
      <w:pPr>
        <w:spacing w:after="0"/>
        <w:ind w:left="0"/>
        <w:jc w:val="both"/>
      </w:pPr>
      <w:r>
        <w:rPr>
          <w:rFonts w:ascii="Times New Roman"/>
          <w:b w:val="false"/>
          <w:i w:val="false"/>
          <w:color w:val="000000"/>
          <w:sz w:val="28"/>
        </w:rPr>
        <w:t>
      9. Первичная диагностика, а также предоставление амбулаторной квалифицированной помощи пациентам с функциональными нарушениями и неосложненными (компенсированными) формами заболеваний органов пищеварения, не нуждающимся в специализированной гастроэнтерологической и гепатологической помощи, осуществляется в организациях, оказывающих амбулаторно-поликлиническую помощь, по месту прикрепления участковым терапевтом или врачом общей практики (семейным врачом) (далее – врач ПМСП).</w:t>
      </w:r>
    </w:p>
    <w:bookmarkEnd w:id="32"/>
    <w:bookmarkStart w:name="z38" w:id="33"/>
    <w:p>
      <w:pPr>
        <w:spacing w:after="0"/>
        <w:ind w:left="0"/>
        <w:jc w:val="both"/>
      </w:pPr>
      <w:r>
        <w:rPr>
          <w:rFonts w:ascii="Times New Roman"/>
          <w:b w:val="false"/>
          <w:i w:val="false"/>
          <w:color w:val="000000"/>
          <w:sz w:val="28"/>
        </w:rPr>
        <w:t>
      10. Предоставление гастроэнтерологической и гепатологической помощи в организациях, оказывающих амбулаторно-поликлиническую помощь, осуществляется в кабинете гастроэнтеролога (далее – Кабинет).</w:t>
      </w:r>
    </w:p>
    <w:bookmarkEnd w:id="33"/>
    <w:bookmarkStart w:name="z39" w:id="34"/>
    <w:p>
      <w:pPr>
        <w:spacing w:after="0"/>
        <w:ind w:left="0"/>
        <w:jc w:val="both"/>
      </w:pPr>
      <w:r>
        <w:rPr>
          <w:rFonts w:ascii="Times New Roman"/>
          <w:b w:val="false"/>
          <w:i w:val="false"/>
          <w:color w:val="000000"/>
          <w:sz w:val="28"/>
        </w:rPr>
        <w:t xml:space="preserve">
      11. Создание Кабинета и утверждение его кадрового состава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(далее – Кодекс РК).</w:t>
      </w:r>
    </w:p>
    <w:bookmarkEnd w:id="34"/>
    <w:bookmarkStart w:name="z40" w:id="35"/>
    <w:p>
      <w:pPr>
        <w:spacing w:after="0"/>
        <w:ind w:left="0"/>
        <w:jc w:val="both"/>
      </w:pPr>
      <w:r>
        <w:rPr>
          <w:rFonts w:ascii="Times New Roman"/>
          <w:b w:val="false"/>
          <w:i w:val="false"/>
          <w:color w:val="000000"/>
          <w:sz w:val="28"/>
        </w:rPr>
        <w:t>
      12. На должность врача Кабинета принимается врач, имеющий сертификат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35"/>
    <w:bookmarkStart w:name="z41" w:id="36"/>
    <w:p>
      <w:pPr>
        <w:spacing w:after="0"/>
        <w:ind w:left="0"/>
        <w:jc w:val="both"/>
      </w:pPr>
      <w:r>
        <w:rPr>
          <w:rFonts w:ascii="Times New Roman"/>
          <w:b w:val="false"/>
          <w:i w:val="false"/>
          <w:color w:val="000000"/>
          <w:sz w:val="28"/>
        </w:rPr>
        <w:t>
      13. Норматив времени на оказание клинико-диагностических услуг (прием пациента) врачом Кабинета устанавливается в соответствии c типовыми штатами и штатными нормативами организаций здравоохранения.</w:t>
      </w:r>
    </w:p>
    <w:bookmarkEnd w:id="36"/>
    <w:bookmarkStart w:name="z42" w:id="37"/>
    <w:p>
      <w:pPr>
        <w:spacing w:after="0"/>
        <w:ind w:left="0"/>
        <w:jc w:val="both"/>
      </w:pPr>
      <w:r>
        <w:rPr>
          <w:rFonts w:ascii="Times New Roman"/>
          <w:b w:val="false"/>
          <w:i w:val="false"/>
          <w:color w:val="000000"/>
          <w:sz w:val="28"/>
        </w:rPr>
        <w:t>
      14. Кабинет осуществляет:</w:t>
      </w:r>
    </w:p>
    <w:bookmarkEnd w:id="37"/>
    <w:bookmarkStart w:name="z43" w:id="38"/>
    <w:p>
      <w:pPr>
        <w:spacing w:after="0"/>
        <w:ind w:left="0"/>
        <w:jc w:val="both"/>
      </w:pPr>
      <w:r>
        <w:rPr>
          <w:rFonts w:ascii="Times New Roman"/>
          <w:b w:val="false"/>
          <w:i w:val="false"/>
          <w:color w:val="000000"/>
          <w:sz w:val="28"/>
        </w:rPr>
        <w:t>
      1) оказание специализированной медицинской помощи пациентам с заболеваниями органов пищеварения по направлению врача ПМСП;</w:t>
      </w:r>
    </w:p>
    <w:bookmarkEnd w:id="38"/>
    <w:bookmarkStart w:name="z44" w:id="39"/>
    <w:p>
      <w:pPr>
        <w:spacing w:after="0"/>
        <w:ind w:left="0"/>
        <w:jc w:val="both"/>
      </w:pPr>
      <w:r>
        <w:rPr>
          <w:rFonts w:ascii="Times New Roman"/>
          <w:b w:val="false"/>
          <w:i w:val="false"/>
          <w:color w:val="000000"/>
          <w:sz w:val="28"/>
        </w:rPr>
        <w:t>
      2) консультирование пациентов с заболеваниями органов пищеварения, в том числе, перенесших оперативные вмешательства на органах пищеварения;</w:t>
      </w:r>
    </w:p>
    <w:bookmarkEnd w:id="39"/>
    <w:bookmarkStart w:name="z45" w:id="40"/>
    <w:p>
      <w:pPr>
        <w:spacing w:after="0"/>
        <w:ind w:left="0"/>
        <w:jc w:val="both"/>
      </w:pPr>
      <w:r>
        <w:rPr>
          <w:rFonts w:ascii="Times New Roman"/>
          <w:b w:val="false"/>
          <w:i w:val="false"/>
          <w:color w:val="000000"/>
          <w:sz w:val="28"/>
        </w:rPr>
        <w:t>
      3) направление пациентов на лабораторные и инструментальные исследования;</w:t>
      </w:r>
    </w:p>
    <w:bookmarkEnd w:id="40"/>
    <w:bookmarkStart w:name="z46" w:id="41"/>
    <w:p>
      <w:pPr>
        <w:spacing w:after="0"/>
        <w:ind w:left="0"/>
        <w:jc w:val="both"/>
      </w:pPr>
      <w:r>
        <w:rPr>
          <w:rFonts w:ascii="Times New Roman"/>
          <w:b w:val="false"/>
          <w:i w:val="false"/>
          <w:color w:val="000000"/>
          <w:sz w:val="28"/>
        </w:rPr>
        <w:t>
      4) направление пациентов на обследование и консультацию к врачам по специальностям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"Онкология (химиотерапия, маммология) (взрослая)", "Инфекционные болезни (взрослые)" и иных смежных специальностей;</w:t>
      </w:r>
    </w:p>
    <w:bookmarkEnd w:id="41"/>
    <w:bookmarkStart w:name="z47" w:id="42"/>
    <w:p>
      <w:pPr>
        <w:spacing w:after="0"/>
        <w:ind w:left="0"/>
        <w:jc w:val="both"/>
      </w:pPr>
      <w:r>
        <w:rPr>
          <w:rFonts w:ascii="Times New Roman"/>
          <w:b w:val="false"/>
          <w:i w:val="false"/>
          <w:color w:val="000000"/>
          <w:sz w:val="28"/>
        </w:rPr>
        <w:t>
      5) отбор и направление пациентов с заболеваниями органов пищеварения на стационарное лечение;</w:t>
      </w:r>
    </w:p>
    <w:bookmarkEnd w:id="42"/>
    <w:bookmarkStart w:name="z48" w:id="43"/>
    <w:p>
      <w:pPr>
        <w:spacing w:after="0"/>
        <w:ind w:left="0"/>
        <w:jc w:val="both"/>
      </w:pPr>
      <w:r>
        <w:rPr>
          <w:rFonts w:ascii="Times New Roman"/>
          <w:b w:val="false"/>
          <w:i w:val="false"/>
          <w:color w:val="000000"/>
          <w:sz w:val="28"/>
        </w:rPr>
        <w:t>
      6) участие в отборе и направлении пациентов с заболеваниями органов пищеварения для оказания ВТМУ;</w:t>
      </w:r>
    </w:p>
    <w:bookmarkEnd w:id="43"/>
    <w:bookmarkStart w:name="z49" w:id="44"/>
    <w:p>
      <w:pPr>
        <w:spacing w:after="0"/>
        <w:ind w:left="0"/>
        <w:jc w:val="both"/>
      </w:pPr>
      <w:r>
        <w:rPr>
          <w:rFonts w:ascii="Times New Roman"/>
          <w:b w:val="false"/>
          <w:i w:val="false"/>
          <w:color w:val="000000"/>
          <w:sz w:val="28"/>
        </w:rPr>
        <w:t>
      7) внедрение в практику новых методов профилактики, диагностики и лечения больных с заболеваниями органов пищеварения;</w:t>
      </w:r>
    </w:p>
    <w:bookmarkEnd w:id="44"/>
    <w:bookmarkStart w:name="z50" w:id="45"/>
    <w:p>
      <w:pPr>
        <w:spacing w:after="0"/>
        <w:ind w:left="0"/>
        <w:jc w:val="both"/>
      </w:pPr>
      <w:r>
        <w:rPr>
          <w:rFonts w:ascii="Times New Roman"/>
          <w:b w:val="false"/>
          <w:i w:val="false"/>
          <w:color w:val="000000"/>
          <w:sz w:val="28"/>
        </w:rPr>
        <w:t>
      8) индивидуальное консультирование и участие в повышении квалификации врачей ПМСП и смежных специальностей по вопросам гастроэнтерологии и гепатологии;</w:t>
      </w:r>
    </w:p>
    <w:bookmarkEnd w:id="45"/>
    <w:bookmarkStart w:name="z51" w:id="46"/>
    <w:p>
      <w:pPr>
        <w:spacing w:after="0"/>
        <w:ind w:left="0"/>
        <w:jc w:val="both"/>
      </w:pPr>
      <w:r>
        <w:rPr>
          <w:rFonts w:ascii="Times New Roman"/>
          <w:b w:val="false"/>
          <w:i w:val="false"/>
          <w:color w:val="000000"/>
          <w:sz w:val="28"/>
        </w:rPr>
        <w:t>
      9) преемственность и взаимодействие с врачами по специальности "детская гастроэнтерология" и "педиатрия" по месту прикрепления;</w:t>
      </w:r>
    </w:p>
    <w:bookmarkEnd w:id="46"/>
    <w:bookmarkStart w:name="z52" w:id="47"/>
    <w:p>
      <w:pPr>
        <w:spacing w:after="0"/>
        <w:ind w:left="0"/>
        <w:jc w:val="both"/>
      </w:pPr>
      <w:r>
        <w:rPr>
          <w:rFonts w:ascii="Times New Roman"/>
          <w:b w:val="false"/>
          <w:i w:val="false"/>
          <w:color w:val="000000"/>
          <w:sz w:val="28"/>
        </w:rPr>
        <w:t>
      10) участие в научно-практических конференциях;</w:t>
      </w:r>
    </w:p>
    <w:bookmarkEnd w:id="47"/>
    <w:bookmarkStart w:name="z53" w:id="48"/>
    <w:p>
      <w:pPr>
        <w:spacing w:after="0"/>
        <w:ind w:left="0"/>
        <w:jc w:val="both"/>
      </w:pPr>
      <w:r>
        <w:rPr>
          <w:rFonts w:ascii="Times New Roman"/>
          <w:b w:val="false"/>
          <w:i w:val="false"/>
          <w:color w:val="000000"/>
          <w:sz w:val="28"/>
        </w:rPr>
        <w:t>
      11) анализ статистических данных по болезням органов пищеварения среди прикрепленного (обслуживаемого) населения и ведение учетной и отчетной документации;</w:t>
      </w:r>
    </w:p>
    <w:bookmarkEnd w:id="48"/>
    <w:bookmarkStart w:name="z54" w:id="49"/>
    <w:p>
      <w:pPr>
        <w:spacing w:after="0"/>
        <w:ind w:left="0"/>
        <w:jc w:val="both"/>
      </w:pPr>
      <w:r>
        <w:rPr>
          <w:rFonts w:ascii="Times New Roman"/>
          <w:b w:val="false"/>
          <w:i w:val="false"/>
          <w:color w:val="000000"/>
          <w:sz w:val="28"/>
        </w:rPr>
        <w:t>
      12) разработку и проведение мероприятий по санитарно-гигиеническому просвещению населения, организация и участие в проведении "школ" для пациентов с заболеваниями органов пищеварения.</w:t>
      </w:r>
    </w:p>
    <w:bookmarkEnd w:id="49"/>
    <w:bookmarkStart w:name="z55" w:id="50"/>
    <w:p>
      <w:pPr>
        <w:spacing w:after="0"/>
        <w:ind w:left="0"/>
        <w:jc w:val="both"/>
      </w:pPr>
      <w:r>
        <w:rPr>
          <w:rFonts w:ascii="Times New Roman"/>
          <w:b w:val="false"/>
          <w:i w:val="false"/>
          <w:color w:val="000000"/>
          <w:sz w:val="28"/>
        </w:rPr>
        <w:t xml:space="preserve">
      15. Организация здравоохранения, в составе которой создан Кабинет, оснащается минимальным перечнем медицинского оборудования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0"/>
    <w:bookmarkStart w:name="z56" w:id="51"/>
    <w:p>
      <w:pPr>
        <w:spacing w:after="0"/>
        <w:ind w:left="0"/>
        <w:jc w:val="both"/>
      </w:pPr>
      <w:r>
        <w:rPr>
          <w:rFonts w:ascii="Times New Roman"/>
          <w:b w:val="false"/>
          <w:i w:val="false"/>
          <w:color w:val="000000"/>
          <w:sz w:val="28"/>
        </w:rPr>
        <w:t>
      16. В медицинской организации, где создан Кабинет, обеспечивается выполнение ультразвуковой диагностики, эзофагогастродуоденоскопии, ректоскопии, илеоколоноскопии (при соблюдении необходимых требований к выполнению данной процедуры, включая проведение анестезиологического пособия) с автоматической мойкой и стерилизацией эндоскопов и инструментов в соответствующих подразделениях (кабинетах).</w:t>
      </w:r>
    </w:p>
    <w:bookmarkEnd w:id="51"/>
    <w:bookmarkStart w:name="z57" w:id="52"/>
    <w:p>
      <w:pPr>
        <w:spacing w:after="0"/>
        <w:ind w:left="0"/>
        <w:jc w:val="both"/>
      </w:pPr>
      <w:r>
        <w:rPr>
          <w:rFonts w:ascii="Times New Roman"/>
          <w:b w:val="false"/>
          <w:i w:val="false"/>
          <w:color w:val="000000"/>
          <w:sz w:val="28"/>
        </w:rPr>
        <w:t>
      17. Минимальный перечень клинико-диагностических и лабораторных услуг в объеме гастроэнтерологической и гепатологической помощи, в организации здравоохранения, где создан Кабинет, включает по показаниям:</w:t>
      </w:r>
    </w:p>
    <w:bookmarkEnd w:id="52"/>
    <w:bookmarkStart w:name="z58" w:id="53"/>
    <w:p>
      <w:pPr>
        <w:spacing w:after="0"/>
        <w:ind w:left="0"/>
        <w:jc w:val="both"/>
      </w:pPr>
      <w:r>
        <w:rPr>
          <w:rFonts w:ascii="Times New Roman"/>
          <w:b w:val="false"/>
          <w:i w:val="false"/>
          <w:color w:val="000000"/>
          <w:sz w:val="28"/>
        </w:rPr>
        <w:t>
      1) общее клиническое обследование;</w:t>
      </w:r>
    </w:p>
    <w:bookmarkEnd w:id="53"/>
    <w:bookmarkStart w:name="z59" w:id="54"/>
    <w:p>
      <w:pPr>
        <w:spacing w:after="0"/>
        <w:ind w:left="0"/>
        <w:jc w:val="both"/>
      </w:pPr>
      <w:r>
        <w:rPr>
          <w:rFonts w:ascii="Times New Roman"/>
          <w:b w:val="false"/>
          <w:i w:val="false"/>
          <w:color w:val="000000"/>
          <w:sz w:val="28"/>
        </w:rPr>
        <w:t>
      2) общий клинический анализ крови, мочи и кала;</w:t>
      </w:r>
    </w:p>
    <w:bookmarkEnd w:id="54"/>
    <w:bookmarkStart w:name="z60" w:id="55"/>
    <w:p>
      <w:pPr>
        <w:spacing w:after="0"/>
        <w:ind w:left="0"/>
        <w:jc w:val="both"/>
      </w:pPr>
      <w:r>
        <w:rPr>
          <w:rFonts w:ascii="Times New Roman"/>
          <w:b w:val="false"/>
          <w:i w:val="false"/>
          <w:color w:val="000000"/>
          <w:sz w:val="28"/>
        </w:rPr>
        <w:t>
      3) биохимический анализ крови;</w:t>
      </w:r>
    </w:p>
    <w:bookmarkEnd w:id="55"/>
    <w:bookmarkStart w:name="z61" w:id="56"/>
    <w:p>
      <w:pPr>
        <w:spacing w:after="0"/>
        <w:ind w:left="0"/>
        <w:jc w:val="both"/>
      </w:pPr>
      <w:r>
        <w:rPr>
          <w:rFonts w:ascii="Times New Roman"/>
          <w:b w:val="false"/>
          <w:i w:val="false"/>
          <w:color w:val="000000"/>
          <w:sz w:val="28"/>
        </w:rPr>
        <w:t>
      4) серологические и молекулярные исследования на наличие инфекций;</w:t>
      </w:r>
    </w:p>
    <w:bookmarkEnd w:id="56"/>
    <w:bookmarkStart w:name="z62" w:id="57"/>
    <w:p>
      <w:pPr>
        <w:spacing w:after="0"/>
        <w:ind w:left="0"/>
        <w:jc w:val="both"/>
      </w:pPr>
      <w:r>
        <w:rPr>
          <w:rFonts w:ascii="Times New Roman"/>
          <w:b w:val="false"/>
          <w:i w:val="false"/>
          <w:color w:val="000000"/>
          <w:sz w:val="28"/>
        </w:rPr>
        <w:t>
      5) иммунологические исследования (на наличие аутоантител, опухолевых маркеров);</w:t>
      </w:r>
    </w:p>
    <w:bookmarkEnd w:id="57"/>
    <w:bookmarkStart w:name="z63" w:id="58"/>
    <w:p>
      <w:pPr>
        <w:spacing w:after="0"/>
        <w:ind w:left="0"/>
        <w:jc w:val="both"/>
      </w:pPr>
      <w:r>
        <w:rPr>
          <w:rFonts w:ascii="Times New Roman"/>
          <w:b w:val="false"/>
          <w:i w:val="false"/>
          <w:color w:val="000000"/>
          <w:sz w:val="28"/>
        </w:rPr>
        <w:t>
      6) уреазный дыхательный тест и (или) определение Нр антигена в кале;</w:t>
      </w:r>
    </w:p>
    <w:bookmarkEnd w:id="58"/>
    <w:bookmarkStart w:name="z64" w:id="59"/>
    <w:p>
      <w:pPr>
        <w:spacing w:after="0"/>
        <w:ind w:left="0"/>
        <w:jc w:val="both"/>
      </w:pPr>
      <w:r>
        <w:rPr>
          <w:rFonts w:ascii="Times New Roman"/>
          <w:b w:val="false"/>
          <w:i w:val="false"/>
          <w:color w:val="000000"/>
          <w:sz w:val="28"/>
        </w:rPr>
        <w:t>
      7) исследование кала на скрытую кровь (гемокульт-тест);</w:t>
      </w:r>
    </w:p>
    <w:bookmarkEnd w:id="59"/>
    <w:bookmarkStart w:name="z65" w:id="60"/>
    <w:p>
      <w:pPr>
        <w:spacing w:after="0"/>
        <w:ind w:left="0"/>
        <w:jc w:val="both"/>
      </w:pPr>
      <w:r>
        <w:rPr>
          <w:rFonts w:ascii="Times New Roman"/>
          <w:b w:val="false"/>
          <w:i w:val="false"/>
          <w:color w:val="000000"/>
          <w:sz w:val="28"/>
        </w:rPr>
        <w:t>
      8) определение фекальной эластазы;</w:t>
      </w:r>
    </w:p>
    <w:bookmarkEnd w:id="60"/>
    <w:bookmarkStart w:name="z66" w:id="61"/>
    <w:p>
      <w:pPr>
        <w:spacing w:after="0"/>
        <w:ind w:left="0"/>
        <w:jc w:val="both"/>
      </w:pPr>
      <w:r>
        <w:rPr>
          <w:rFonts w:ascii="Times New Roman"/>
          <w:b w:val="false"/>
          <w:i w:val="false"/>
          <w:color w:val="000000"/>
          <w:sz w:val="28"/>
        </w:rPr>
        <w:t>
      9) определение фекального кальпротектина;</w:t>
      </w:r>
    </w:p>
    <w:bookmarkEnd w:id="61"/>
    <w:bookmarkStart w:name="z67" w:id="62"/>
    <w:p>
      <w:pPr>
        <w:spacing w:after="0"/>
        <w:ind w:left="0"/>
        <w:jc w:val="both"/>
      </w:pPr>
      <w:r>
        <w:rPr>
          <w:rFonts w:ascii="Times New Roman"/>
          <w:b w:val="false"/>
          <w:i w:val="false"/>
          <w:color w:val="000000"/>
          <w:sz w:val="28"/>
        </w:rPr>
        <w:t>
      10) гастроскопию с биопсией;</w:t>
      </w:r>
    </w:p>
    <w:bookmarkEnd w:id="62"/>
    <w:bookmarkStart w:name="z68" w:id="63"/>
    <w:p>
      <w:pPr>
        <w:spacing w:after="0"/>
        <w:ind w:left="0"/>
        <w:jc w:val="both"/>
      </w:pPr>
      <w:r>
        <w:rPr>
          <w:rFonts w:ascii="Times New Roman"/>
          <w:b w:val="false"/>
          <w:i w:val="false"/>
          <w:color w:val="000000"/>
          <w:sz w:val="28"/>
        </w:rPr>
        <w:t>
      11) ректоскопию с биопсией;</w:t>
      </w:r>
    </w:p>
    <w:bookmarkEnd w:id="63"/>
    <w:bookmarkStart w:name="z69" w:id="64"/>
    <w:p>
      <w:pPr>
        <w:spacing w:after="0"/>
        <w:ind w:left="0"/>
        <w:jc w:val="both"/>
      </w:pPr>
      <w:r>
        <w:rPr>
          <w:rFonts w:ascii="Times New Roman"/>
          <w:b w:val="false"/>
          <w:i w:val="false"/>
          <w:color w:val="000000"/>
          <w:sz w:val="28"/>
        </w:rPr>
        <w:t>
      12) цитологическое и гистологическое исследования;</w:t>
      </w:r>
    </w:p>
    <w:bookmarkEnd w:id="64"/>
    <w:bookmarkStart w:name="z70" w:id="65"/>
    <w:p>
      <w:pPr>
        <w:spacing w:after="0"/>
        <w:ind w:left="0"/>
        <w:jc w:val="both"/>
      </w:pPr>
      <w:r>
        <w:rPr>
          <w:rFonts w:ascii="Times New Roman"/>
          <w:b w:val="false"/>
          <w:i w:val="false"/>
          <w:color w:val="000000"/>
          <w:sz w:val="28"/>
        </w:rPr>
        <w:t>
      13) ультразвуковое исследование органов брюшной полости;</w:t>
      </w:r>
    </w:p>
    <w:bookmarkEnd w:id="65"/>
    <w:bookmarkStart w:name="z71" w:id="66"/>
    <w:p>
      <w:pPr>
        <w:spacing w:after="0"/>
        <w:ind w:left="0"/>
        <w:jc w:val="both"/>
      </w:pPr>
      <w:r>
        <w:rPr>
          <w:rFonts w:ascii="Times New Roman"/>
          <w:b w:val="false"/>
          <w:i w:val="false"/>
          <w:color w:val="000000"/>
          <w:sz w:val="28"/>
        </w:rPr>
        <w:t>
      14) рентгенологические, в том числе, контрастные, исследования органов желудочно-кишечного тракта;</w:t>
      </w:r>
    </w:p>
    <w:bookmarkEnd w:id="66"/>
    <w:bookmarkStart w:name="z72" w:id="67"/>
    <w:p>
      <w:pPr>
        <w:spacing w:after="0"/>
        <w:ind w:left="0"/>
        <w:jc w:val="both"/>
      </w:pPr>
      <w:r>
        <w:rPr>
          <w:rFonts w:ascii="Times New Roman"/>
          <w:b w:val="false"/>
          <w:i w:val="false"/>
          <w:color w:val="000000"/>
          <w:sz w:val="28"/>
        </w:rPr>
        <w:t>
      15) компьютерную (магниторезонансную) томографию.</w:t>
      </w:r>
    </w:p>
    <w:bookmarkEnd w:id="67"/>
    <w:bookmarkStart w:name="z73" w:id="68"/>
    <w:p>
      <w:pPr>
        <w:spacing w:after="0"/>
        <w:ind w:left="0"/>
        <w:jc w:val="both"/>
      </w:pPr>
      <w:r>
        <w:rPr>
          <w:rFonts w:ascii="Times New Roman"/>
          <w:b w:val="false"/>
          <w:i w:val="false"/>
          <w:color w:val="000000"/>
          <w:sz w:val="28"/>
        </w:rPr>
        <w:t>
      18. При отсутствии возможности оказания пациентам с заболеваниями органов пищеварения клинико-диагностических услуг в полном объеме данные услуги оказываются иными организациями здравоохранения на основании соответствующих договоров.</w:t>
      </w:r>
    </w:p>
    <w:bookmarkEnd w:id="68"/>
    <w:bookmarkStart w:name="z74" w:id="69"/>
    <w:p>
      <w:pPr>
        <w:spacing w:after="0"/>
        <w:ind w:left="0"/>
        <w:jc w:val="both"/>
      </w:pPr>
      <w:r>
        <w:rPr>
          <w:rFonts w:ascii="Times New Roman"/>
          <w:b w:val="false"/>
          <w:i w:val="false"/>
          <w:color w:val="000000"/>
          <w:sz w:val="28"/>
        </w:rPr>
        <w:t>
      19. Централизованное оказание специализированной гастроэнтерологической и гепатологической помощи пациентам с тяжелыми (осложненными) заболеваниями органов пищеварения, в том числе, требующими использования сложных и (или) дорогостоящих методов диагностики и лечения, осуществляется в центре гастроэнтерологии и гепатологии (далее – ЦГГ).</w:t>
      </w:r>
    </w:p>
    <w:bookmarkEnd w:id="69"/>
    <w:bookmarkStart w:name="z75" w:id="70"/>
    <w:p>
      <w:pPr>
        <w:spacing w:after="0"/>
        <w:ind w:left="0"/>
        <w:jc w:val="both"/>
      </w:pPr>
      <w:r>
        <w:rPr>
          <w:rFonts w:ascii="Times New Roman"/>
          <w:b w:val="false"/>
          <w:i w:val="false"/>
          <w:color w:val="000000"/>
          <w:sz w:val="28"/>
        </w:rPr>
        <w:t>
      20. ЦГГ создается в амбулаторно-поликлинических организациях или подразделениях многопрофильных медицинских организаций, определяемых местными органами государственного управления здравоохранением, из расчета не менее одного на область и город республиканского значения.</w:t>
      </w:r>
    </w:p>
    <w:bookmarkEnd w:id="70"/>
    <w:bookmarkStart w:name="z76" w:id="71"/>
    <w:p>
      <w:pPr>
        <w:spacing w:after="0"/>
        <w:ind w:left="0"/>
        <w:jc w:val="both"/>
      </w:pPr>
      <w:r>
        <w:rPr>
          <w:rFonts w:ascii="Times New Roman"/>
          <w:b w:val="false"/>
          <w:i w:val="false"/>
          <w:color w:val="000000"/>
          <w:sz w:val="28"/>
        </w:rPr>
        <w:t>
      21. В структуру ЦГГ входят кабинеты приема пациентов, палаты дневного стационара, процедурный (инфузионный) кабинет, а также при необходимости иные клинико-диагностические услуги.</w:t>
      </w:r>
    </w:p>
    <w:bookmarkEnd w:id="71"/>
    <w:bookmarkStart w:name="z77" w:id="72"/>
    <w:p>
      <w:pPr>
        <w:spacing w:after="0"/>
        <w:ind w:left="0"/>
        <w:jc w:val="both"/>
      </w:pPr>
      <w:r>
        <w:rPr>
          <w:rFonts w:ascii="Times New Roman"/>
          <w:b w:val="false"/>
          <w:i w:val="false"/>
          <w:color w:val="000000"/>
          <w:sz w:val="28"/>
        </w:rPr>
        <w:t xml:space="preserve">
      22. Утверждение структуры и штатного расписания ЦГГ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32 Кодекса РК.</w:t>
      </w:r>
    </w:p>
    <w:bookmarkEnd w:id="72"/>
    <w:bookmarkStart w:name="z78" w:id="73"/>
    <w:p>
      <w:pPr>
        <w:spacing w:after="0"/>
        <w:ind w:left="0"/>
        <w:jc w:val="both"/>
      </w:pPr>
      <w:r>
        <w:rPr>
          <w:rFonts w:ascii="Times New Roman"/>
          <w:b w:val="false"/>
          <w:i w:val="false"/>
          <w:color w:val="000000"/>
          <w:sz w:val="28"/>
        </w:rPr>
        <w:t>
      23. Расчетный норматив времени на оказание клинико-диагностических услуг (прием пациента) врачом ЦГГ составляет 40 минут.</w:t>
      </w:r>
    </w:p>
    <w:bookmarkEnd w:id="73"/>
    <w:bookmarkStart w:name="z79" w:id="74"/>
    <w:p>
      <w:pPr>
        <w:spacing w:after="0"/>
        <w:ind w:left="0"/>
        <w:jc w:val="both"/>
      </w:pPr>
      <w:r>
        <w:rPr>
          <w:rFonts w:ascii="Times New Roman"/>
          <w:b w:val="false"/>
          <w:i w:val="false"/>
          <w:color w:val="000000"/>
          <w:sz w:val="28"/>
        </w:rPr>
        <w:t>
      24. ЦГГ осуществляет:</w:t>
      </w:r>
    </w:p>
    <w:bookmarkEnd w:id="74"/>
    <w:bookmarkStart w:name="z80" w:id="75"/>
    <w:p>
      <w:pPr>
        <w:spacing w:after="0"/>
        <w:ind w:left="0"/>
        <w:jc w:val="both"/>
      </w:pPr>
      <w:r>
        <w:rPr>
          <w:rFonts w:ascii="Times New Roman"/>
          <w:b w:val="false"/>
          <w:i w:val="false"/>
          <w:color w:val="000000"/>
          <w:sz w:val="28"/>
        </w:rPr>
        <w:t>
      1) оказание специализированной помощи пациентам с хроническими вирусными гепатитами (далее – ХВГ), включая стадию цирроза печени и его осложнения, воспалительными заболеваниями кишечника (далее – ВЗК), пациентам после трансплантации печени, а также пациентам с другими тяжелыми заболеваниями органов пищеварения по направлению врачей по специальностям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а в случае их отсутствия – врача ПМСП по месту прикрепления пациента;</w:t>
      </w:r>
    </w:p>
    <w:bookmarkEnd w:id="75"/>
    <w:bookmarkStart w:name="z81" w:id="76"/>
    <w:p>
      <w:pPr>
        <w:spacing w:after="0"/>
        <w:ind w:left="0"/>
        <w:jc w:val="both"/>
      </w:pPr>
      <w:r>
        <w:rPr>
          <w:rFonts w:ascii="Times New Roman"/>
          <w:b w:val="false"/>
          <w:i w:val="false"/>
          <w:color w:val="000000"/>
          <w:sz w:val="28"/>
        </w:rPr>
        <w:t>
      2) углубленное (лабораторное, инструментальное) обследование;</w:t>
      </w:r>
    </w:p>
    <w:bookmarkEnd w:id="76"/>
    <w:bookmarkStart w:name="z82" w:id="77"/>
    <w:p>
      <w:pPr>
        <w:spacing w:after="0"/>
        <w:ind w:left="0"/>
        <w:jc w:val="both"/>
      </w:pPr>
      <w:r>
        <w:rPr>
          <w:rFonts w:ascii="Times New Roman"/>
          <w:b w:val="false"/>
          <w:i w:val="false"/>
          <w:color w:val="000000"/>
          <w:sz w:val="28"/>
        </w:rPr>
        <w:t>
      3) свод данных исследований на ХВГ, данных по выявлению ВЗК;</w:t>
      </w:r>
    </w:p>
    <w:bookmarkEnd w:id="77"/>
    <w:bookmarkStart w:name="z83" w:id="78"/>
    <w:p>
      <w:pPr>
        <w:spacing w:after="0"/>
        <w:ind w:left="0"/>
        <w:jc w:val="both"/>
      </w:pPr>
      <w:r>
        <w:rPr>
          <w:rFonts w:ascii="Times New Roman"/>
          <w:b w:val="false"/>
          <w:i w:val="false"/>
          <w:color w:val="000000"/>
          <w:sz w:val="28"/>
        </w:rPr>
        <w:t>
      4) динамическое обследование на наличие гепатоцеллюлярной карциномы, а по решению местных органов государственного управления здравоохранением – опухолей органов пищеварения других локализаций;</w:t>
      </w:r>
    </w:p>
    <w:bookmarkEnd w:id="78"/>
    <w:bookmarkStart w:name="z84" w:id="79"/>
    <w:p>
      <w:pPr>
        <w:spacing w:after="0"/>
        <w:ind w:left="0"/>
        <w:jc w:val="both"/>
      </w:pPr>
      <w:r>
        <w:rPr>
          <w:rFonts w:ascii="Times New Roman"/>
          <w:b w:val="false"/>
          <w:i w:val="false"/>
          <w:color w:val="000000"/>
          <w:sz w:val="28"/>
        </w:rPr>
        <w:t>
      5) направление на обследование и консультацию к врачам по специальностям "Инфекционные болезни (взрослые)",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"Онкология (химиотерапия, маммология) (взрослая)" и иных смежных специальностей;</w:t>
      </w:r>
    </w:p>
    <w:bookmarkEnd w:id="79"/>
    <w:bookmarkStart w:name="z85" w:id="80"/>
    <w:p>
      <w:pPr>
        <w:spacing w:after="0"/>
        <w:ind w:left="0"/>
        <w:jc w:val="both"/>
      </w:pPr>
      <w:r>
        <w:rPr>
          <w:rFonts w:ascii="Times New Roman"/>
          <w:b w:val="false"/>
          <w:i w:val="false"/>
          <w:color w:val="000000"/>
          <w:sz w:val="28"/>
        </w:rPr>
        <w:t>
      6) определение показаний и противопоказаний, а также выбор режимов:</w:t>
      </w:r>
    </w:p>
    <w:bookmarkEnd w:id="80"/>
    <w:bookmarkStart w:name="z86" w:id="81"/>
    <w:p>
      <w:pPr>
        <w:spacing w:after="0"/>
        <w:ind w:left="0"/>
        <w:jc w:val="both"/>
      </w:pPr>
      <w:r>
        <w:rPr>
          <w:rFonts w:ascii="Times New Roman"/>
          <w:b w:val="false"/>
          <w:i w:val="false"/>
          <w:color w:val="000000"/>
          <w:sz w:val="28"/>
        </w:rPr>
        <w:t>
      противовирусной терапии хронических вирусных гепатитов;</w:t>
      </w:r>
    </w:p>
    <w:bookmarkEnd w:id="81"/>
    <w:bookmarkStart w:name="z87" w:id="82"/>
    <w:p>
      <w:pPr>
        <w:spacing w:after="0"/>
        <w:ind w:left="0"/>
        <w:jc w:val="both"/>
      </w:pPr>
      <w:r>
        <w:rPr>
          <w:rFonts w:ascii="Times New Roman"/>
          <w:b w:val="false"/>
          <w:i w:val="false"/>
          <w:color w:val="000000"/>
          <w:sz w:val="28"/>
        </w:rPr>
        <w:t>
      терапии ВЗК, включая иммуносупрессивную и биологическую терапию;</w:t>
      </w:r>
    </w:p>
    <w:bookmarkEnd w:id="82"/>
    <w:bookmarkStart w:name="z88" w:id="83"/>
    <w:p>
      <w:pPr>
        <w:spacing w:after="0"/>
        <w:ind w:left="0"/>
        <w:jc w:val="both"/>
      </w:pPr>
      <w:r>
        <w:rPr>
          <w:rFonts w:ascii="Times New Roman"/>
          <w:b w:val="false"/>
          <w:i w:val="false"/>
          <w:color w:val="000000"/>
          <w:sz w:val="28"/>
        </w:rPr>
        <w:t>
      терапии других заболеваний органов пищеварения и их осложнений;</w:t>
      </w:r>
    </w:p>
    <w:bookmarkEnd w:id="83"/>
    <w:bookmarkStart w:name="z89" w:id="84"/>
    <w:p>
      <w:pPr>
        <w:spacing w:after="0"/>
        <w:ind w:left="0"/>
        <w:jc w:val="both"/>
      </w:pPr>
      <w:r>
        <w:rPr>
          <w:rFonts w:ascii="Times New Roman"/>
          <w:b w:val="false"/>
          <w:i w:val="false"/>
          <w:color w:val="000000"/>
          <w:sz w:val="28"/>
        </w:rPr>
        <w:t>
      7) определение возможных показаний и противопоказаний к трансплантации печени;</w:t>
      </w:r>
    </w:p>
    <w:bookmarkEnd w:id="84"/>
    <w:bookmarkStart w:name="z90" w:id="85"/>
    <w:p>
      <w:pPr>
        <w:spacing w:after="0"/>
        <w:ind w:left="0"/>
        <w:jc w:val="both"/>
      </w:pPr>
      <w:r>
        <w:rPr>
          <w:rFonts w:ascii="Times New Roman"/>
          <w:b w:val="false"/>
          <w:i w:val="false"/>
          <w:color w:val="000000"/>
          <w:sz w:val="28"/>
        </w:rPr>
        <w:t>
      8) участие в комиссионном (протокольном) решении о назначении в пределах Перечня ГОБМП и (или) ОСМС противовирусной терапии пациентам с ХВГ, биологической и иммуносупрессивной терапии пациентам с ВЗК и другими заболеваниями органов пищеварения, а также определении показаний к трансплантации печени с внесением данных в соответствующие листы ожидания;</w:t>
      </w:r>
    </w:p>
    <w:bookmarkEnd w:id="85"/>
    <w:bookmarkStart w:name="z91" w:id="86"/>
    <w:p>
      <w:pPr>
        <w:spacing w:after="0"/>
        <w:ind w:left="0"/>
        <w:jc w:val="both"/>
      </w:pPr>
      <w:r>
        <w:rPr>
          <w:rFonts w:ascii="Times New Roman"/>
          <w:b w:val="false"/>
          <w:i w:val="false"/>
          <w:color w:val="000000"/>
          <w:sz w:val="28"/>
        </w:rPr>
        <w:t>
      9) централизованный учет пациентов, включая тех из них, кому планируется, предоставляется, либо завершена (прекращена) данная противовирусная, биологическая или иммуносупрессивная терапия в пределах Перечня ГОБМП и (или) ОСМС;</w:t>
      </w:r>
    </w:p>
    <w:bookmarkEnd w:id="86"/>
    <w:bookmarkStart w:name="z92" w:id="87"/>
    <w:p>
      <w:pPr>
        <w:spacing w:after="0"/>
        <w:ind w:left="0"/>
        <w:jc w:val="both"/>
      </w:pPr>
      <w:r>
        <w:rPr>
          <w:rFonts w:ascii="Times New Roman"/>
          <w:b w:val="false"/>
          <w:i w:val="false"/>
          <w:color w:val="000000"/>
          <w:sz w:val="28"/>
        </w:rPr>
        <w:t>
      10) выписку рецептов на получение пациентами лекарственных средств, осуществляемую врачом ЦГГ или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по месту прикрепления, а при его отсутствии – врачом ПМСП, в соответствии с консультативным заключением, выданным ЦГГ;</w:t>
      </w:r>
    </w:p>
    <w:bookmarkEnd w:id="87"/>
    <w:bookmarkStart w:name="z93" w:id="88"/>
    <w:p>
      <w:pPr>
        <w:spacing w:after="0"/>
        <w:ind w:left="0"/>
        <w:jc w:val="both"/>
      </w:pPr>
      <w:r>
        <w:rPr>
          <w:rFonts w:ascii="Times New Roman"/>
          <w:b w:val="false"/>
          <w:i w:val="false"/>
          <w:color w:val="000000"/>
          <w:sz w:val="28"/>
        </w:rPr>
        <w:t>
      11) проведение и мониторинг противовирусной, иммуносупрессивной, биологической терапии и иных методов лечения пациентам с заболеваниями органов пищеварения в пределах Перечня ГОБМП и (или) ОСМС;</w:t>
      </w:r>
    </w:p>
    <w:bookmarkEnd w:id="88"/>
    <w:bookmarkStart w:name="z94" w:id="89"/>
    <w:p>
      <w:pPr>
        <w:spacing w:after="0"/>
        <w:ind w:left="0"/>
        <w:jc w:val="both"/>
      </w:pPr>
      <w:r>
        <w:rPr>
          <w:rFonts w:ascii="Times New Roman"/>
          <w:b w:val="false"/>
          <w:i w:val="false"/>
          <w:color w:val="000000"/>
          <w:sz w:val="28"/>
        </w:rPr>
        <w:t>
      12) консультирование и наблюдение пациентов с хроническими заболеваниями, в том числе, перенесших оперативные вмешательства на органах пищеварения, включая трансплантацию печени;</w:t>
      </w:r>
    </w:p>
    <w:bookmarkEnd w:id="89"/>
    <w:bookmarkStart w:name="z95" w:id="90"/>
    <w:p>
      <w:pPr>
        <w:spacing w:after="0"/>
        <w:ind w:left="0"/>
        <w:jc w:val="both"/>
      </w:pPr>
      <w:r>
        <w:rPr>
          <w:rFonts w:ascii="Times New Roman"/>
          <w:b w:val="false"/>
          <w:i w:val="false"/>
          <w:color w:val="000000"/>
          <w:sz w:val="28"/>
        </w:rPr>
        <w:t>
      13) госпитализацию в дневной стационар;</w:t>
      </w:r>
    </w:p>
    <w:bookmarkEnd w:id="90"/>
    <w:bookmarkStart w:name="z96" w:id="91"/>
    <w:p>
      <w:pPr>
        <w:spacing w:after="0"/>
        <w:ind w:left="0"/>
        <w:jc w:val="both"/>
      </w:pPr>
      <w:r>
        <w:rPr>
          <w:rFonts w:ascii="Times New Roman"/>
          <w:b w:val="false"/>
          <w:i w:val="false"/>
          <w:color w:val="000000"/>
          <w:sz w:val="28"/>
        </w:rPr>
        <w:t>
      14) направление на стационарное лечение, в том числе для оказания высокотехнологичных медицинских услуг;</w:t>
      </w:r>
    </w:p>
    <w:bookmarkEnd w:id="91"/>
    <w:bookmarkStart w:name="z97" w:id="92"/>
    <w:p>
      <w:pPr>
        <w:spacing w:after="0"/>
        <w:ind w:left="0"/>
        <w:jc w:val="both"/>
      </w:pPr>
      <w:r>
        <w:rPr>
          <w:rFonts w:ascii="Times New Roman"/>
          <w:b w:val="false"/>
          <w:i w:val="false"/>
          <w:color w:val="000000"/>
          <w:sz w:val="28"/>
        </w:rPr>
        <w:t>
      15) решение вопроса о направлении пациентов на медико-социальную экспертную комиссию;</w:t>
      </w:r>
    </w:p>
    <w:bookmarkEnd w:id="92"/>
    <w:bookmarkStart w:name="z98" w:id="93"/>
    <w:p>
      <w:pPr>
        <w:spacing w:after="0"/>
        <w:ind w:left="0"/>
        <w:jc w:val="both"/>
      </w:pPr>
      <w:r>
        <w:rPr>
          <w:rFonts w:ascii="Times New Roman"/>
          <w:b w:val="false"/>
          <w:i w:val="false"/>
          <w:color w:val="000000"/>
          <w:sz w:val="28"/>
        </w:rPr>
        <w:t>
      16) профилактические меры и консультирование, в том числе организация и участие в проведении "школ" для пациентов;</w:t>
      </w:r>
    </w:p>
    <w:bookmarkEnd w:id="93"/>
    <w:bookmarkStart w:name="z99" w:id="94"/>
    <w:p>
      <w:pPr>
        <w:spacing w:after="0"/>
        <w:ind w:left="0"/>
        <w:jc w:val="both"/>
      </w:pPr>
      <w:r>
        <w:rPr>
          <w:rFonts w:ascii="Times New Roman"/>
          <w:b w:val="false"/>
          <w:i w:val="false"/>
          <w:color w:val="000000"/>
          <w:sz w:val="28"/>
        </w:rPr>
        <w:t>
      17) внедрение в практику новых методов профилактики, диагностики и лечения пациентов с хроническими заболеваниями органов пищеварения;</w:t>
      </w:r>
    </w:p>
    <w:bookmarkEnd w:id="94"/>
    <w:bookmarkStart w:name="z100" w:id="95"/>
    <w:p>
      <w:pPr>
        <w:spacing w:after="0"/>
        <w:ind w:left="0"/>
        <w:jc w:val="both"/>
      </w:pPr>
      <w:r>
        <w:rPr>
          <w:rFonts w:ascii="Times New Roman"/>
          <w:b w:val="false"/>
          <w:i w:val="false"/>
          <w:color w:val="000000"/>
          <w:sz w:val="28"/>
        </w:rPr>
        <w:t>
      18) индивидуальное консультирование и участие в повышении квалификации врачей ПМСП и смежных специальностей по вопросам гастроэнтерологии и гепатологии;</w:t>
      </w:r>
    </w:p>
    <w:bookmarkEnd w:id="95"/>
    <w:bookmarkStart w:name="z101" w:id="96"/>
    <w:p>
      <w:pPr>
        <w:spacing w:after="0"/>
        <w:ind w:left="0"/>
        <w:jc w:val="both"/>
      </w:pPr>
      <w:r>
        <w:rPr>
          <w:rFonts w:ascii="Times New Roman"/>
          <w:b w:val="false"/>
          <w:i w:val="false"/>
          <w:color w:val="000000"/>
          <w:sz w:val="28"/>
        </w:rPr>
        <w:t>
      19) анализ статистических данных по заболеваниям органов пищеварения среди обслуживаемого населения, ведение учетной и отчетной документации;</w:t>
      </w:r>
    </w:p>
    <w:bookmarkEnd w:id="96"/>
    <w:bookmarkStart w:name="z102" w:id="97"/>
    <w:p>
      <w:pPr>
        <w:spacing w:after="0"/>
        <w:ind w:left="0"/>
        <w:jc w:val="both"/>
      </w:pPr>
      <w:r>
        <w:rPr>
          <w:rFonts w:ascii="Times New Roman"/>
          <w:b w:val="false"/>
          <w:i w:val="false"/>
          <w:color w:val="000000"/>
          <w:sz w:val="28"/>
        </w:rPr>
        <w:t>
      20) контроль за внесением данных в медицинские информационные системы по месту прикрепления пациентов в организациях, оказывающих амбулаторно-поликлиническую помощь.</w:t>
      </w:r>
    </w:p>
    <w:bookmarkEnd w:id="97"/>
    <w:bookmarkStart w:name="z103" w:id="98"/>
    <w:p>
      <w:pPr>
        <w:spacing w:after="0"/>
        <w:ind w:left="0"/>
        <w:jc w:val="both"/>
      </w:pPr>
      <w:r>
        <w:rPr>
          <w:rFonts w:ascii="Times New Roman"/>
          <w:b w:val="false"/>
          <w:i w:val="false"/>
          <w:color w:val="000000"/>
          <w:sz w:val="28"/>
        </w:rPr>
        <w:t xml:space="preserve">
      25. Организация здравоохранения, в составе которой создан ЦГГ, оснащается минимальным перечнем медицинского оборудования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98"/>
    <w:bookmarkStart w:name="z104" w:id="99"/>
    <w:p>
      <w:pPr>
        <w:spacing w:after="0"/>
        <w:ind w:left="0"/>
        <w:jc w:val="both"/>
      </w:pPr>
      <w:r>
        <w:rPr>
          <w:rFonts w:ascii="Times New Roman"/>
          <w:b w:val="false"/>
          <w:i w:val="false"/>
          <w:color w:val="000000"/>
          <w:sz w:val="28"/>
        </w:rPr>
        <w:t>
      26. Минимальный перечень клинико-диагностических услуг, предоставляемых медицинской организацией, в составе которой создан ЦГГ, включает:</w:t>
      </w:r>
    </w:p>
    <w:bookmarkEnd w:id="99"/>
    <w:bookmarkStart w:name="z105" w:id="100"/>
    <w:p>
      <w:pPr>
        <w:spacing w:after="0"/>
        <w:ind w:left="0"/>
        <w:jc w:val="both"/>
      </w:pPr>
      <w:r>
        <w:rPr>
          <w:rFonts w:ascii="Times New Roman"/>
          <w:b w:val="false"/>
          <w:i w:val="false"/>
          <w:color w:val="000000"/>
          <w:sz w:val="28"/>
        </w:rPr>
        <w:t>
      1) общее клиническое обследование пациента;</w:t>
      </w:r>
    </w:p>
    <w:bookmarkEnd w:id="100"/>
    <w:bookmarkStart w:name="z106" w:id="101"/>
    <w:p>
      <w:pPr>
        <w:spacing w:after="0"/>
        <w:ind w:left="0"/>
        <w:jc w:val="both"/>
      </w:pPr>
      <w:r>
        <w:rPr>
          <w:rFonts w:ascii="Times New Roman"/>
          <w:b w:val="false"/>
          <w:i w:val="false"/>
          <w:color w:val="000000"/>
          <w:sz w:val="28"/>
        </w:rPr>
        <w:t>
      2) общий клинический анализ крови, мочи и кала;</w:t>
      </w:r>
    </w:p>
    <w:bookmarkEnd w:id="101"/>
    <w:bookmarkStart w:name="z107" w:id="102"/>
    <w:p>
      <w:pPr>
        <w:spacing w:after="0"/>
        <w:ind w:left="0"/>
        <w:jc w:val="both"/>
      </w:pPr>
      <w:r>
        <w:rPr>
          <w:rFonts w:ascii="Times New Roman"/>
          <w:b w:val="false"/>
          <w:i w:val="false"/>
          <w:color w:val="000000"/>
          <w:sz w:val="28"/>
        </w:rPr>
        <w:t>
      3) биохимический анализ крови;</w:t>
      </w:r>
    </w:p>
    <w:bookmarkEnd w:id="102"/>
    <w:bookmarkStart w:name="z108" w:id="103"/>
    <w:p>
      <w:pPr>
        <w:spacing w:after="0"/>
        <w:ind w:left="0"/>
        <w:jc w:val="both"/>
      </w:pPr>
      <w:r>
        <w:rPr>
          <w:rFonts w:ascii="Times New Roman"/>
          <w:b w:val="false"/>
          <w:i w:val="false"/>
          <w:color w:val="000000"/>
          <w:sz w:val="28"/>
        </w:rPr>
        <w:t>
      4) серологические и молекулярные исследования на инфекции;</w:t>
      </w:r>
    </w:p>
    <w:bookmarkEnd w:id="103"/>
    <w:bookmarkStart w:name="z109" w:id="104"/>
    <w:p>
      <w:pPr>
        <w:spacing w:after="0"/>
        <w:ind w:left="0"/>
        <w:jc w:val="both"/>
      </w:pPr>
      <w:r>
        <w:rPr>
          <w:rFonts w:ascii="Times New Roman"/>
          <w:b w:val="false"/>
          <w:i w:val="false"/>
          <w:color w:val="000000"/>
          <w:sz w:val="28"/>
        </w:rPr>
        <w:t>
      5) иммунологические исследования (на наличие аутоантител, опухолевых маркеров);</w:t>
      </w:r>
    </w:p>
    <w:bookmarkEnd w:id="104"/>
    <w:bookmarkStart w:name="z110" w:id="105"/>
    <w:p>
      <w:pPr>
        <w:spacing w:after="0"/>
        <w:ind w:left="0"/>
        <w:jc w:val="both"/>
      </w:pPr>
      <w:r>
        <w:rPr>
          <w:rFonts w:ascii="Times New Roman"/>
          <w:b w:val="false"/>
          <w:i w:val="false"/>
          <w:color w:val="000000"/>
          <w:sz w:val="28"/>
        </w:rPr>
        <w:t>
      6) определение концентрации иммуносупрессивных препаратов в крови;</w:t>
      </w:r>
    </w:p>
    <w:bookmarkEnd w:id="105"/>
    <w:bookmarkStart w:name="z111" w:id="106"/>
    <w:p>
      <w:pPr>
        <w:spacing w:after="0"/>
        <w:ind w:left="0"/>
        <w:jc w:val="both"/>
      </w:pPr>
      <w:r>
        <w:rPr>
          <w:rFonts w:ascii="Times New Roman"/>
          <w:b w:val="false"/>
          <w:i w:val="false"/>
          <w:color w:val="000000"/>
          <w:sz w:val="28"/>
        </w:rPr>
        <w:t>
      7) исследование кала на скрытую кровь;</w:t>
      </w:r>
    </w:p>
    <w:bookmarkEnd w:id="106"/>
    <w:bookmarkStart w:name="z112" w:id="107"/>
    <w:p>
      <w:pPr>
        <w:spacing w:after="0"/>
        <w:ind w:left="0"/>
        <w:jc w:val="both"/>
      </w:pPr>
      <w:r>
        <w:rPr>
          <w:rFonts w:ascii="Times New Roman"/>
          <w:b w:val="false"/>
          <w:i w:val="false"/>
          <w:color w:val="000000"/>
          <w:sz w:val="28"/>
        </w:rPr>
        <w:t>
      8) уреазный дыхательный тест и (или) определение Нр-антигена в кале;</w:t>
      </w:r>
    </w:p>
    <w:bookmarkEnd w:id="107"/>
    <w:bookmarkStart w:name="z113" w:id="108"/>
    <w:p>
      <w:pPr>
        <w:spacing w:after="0"/>
        <w:ind w:left="0"/>
        <w:jc w:val="both"/>
      </w:pPr>
      <w:r>
        <w:rPr>
          <w:rFonts w:ascii="Times New Roman"/>
          <w:b w:val="false"/>
          <w:i w:val="false"/>
          <w:color w:val="000000"/>
          <w:sz w:val="28"/>
        </w:rPr>
        <w:t>
      9) определение фекальной эластазы;</w:t>
      </w:r>
    </w:p>
    <w:bookmarkEnd w:id="108"/>
    <w:bookmarkStart w:name="z114" w:id="109"/>
    <w:p>
      <w:pPr>
        <w:spacing w:after="0"/>
        <w:ind w:left="0"/>
        <w:jc w:val="both"/>
      </w:pPr>
      <w:r>
        <w:rPr>
          <w:rFonts w:ascii="Times New Roman"/>
          <w:b w:val="false"/>
          <w:i w:val="false"/>
          <w:color w:val="000000"/>
          <w:sz w:val="28"/>
        </w:rPr>
        <w:t>
      10) определение фекального кальпротектина;</w:t>
      </w:r>
    </w:p>
    <w:bookmarkEnd w:id="109"/>
    <w:bookmarkStart w:name="z115" w:id="110"/>
    <w:p>
      <w:pPr>
        <w:spacing w:after="0"/>
        <w:ind w:left="0"/>
        <w:jc w:val="both"/>
      </w:pPr>
      <w:r>
        <w:rPr>
          <w:rFonts w:ascii="Times New Roman"/>
          <w:b w:val="false"/>
          <w:i w:val="false"/>
          <w:color w:val="000000"/>
          <w:sz w:val="28"/>
        </w:rPr>
        <w:t>
      11) эзофагогастродуоденоскопию с биопсией;</w:t>
      </w:r>
    </w:p>
    <w:bookmarkEnd w:id="110"/>
    <w:bookmarkStart w:name="z116" w:id="111"/>
    <w:p>
      <w:pPr>
        <w:spacing w:after="0"/>
        <w:ind w:left="0"/>
        <w:jc w:val="both"/>
      </w:pPr>
      <w:r>
        <w:rPr>
          <w:rFonts w:ascii="Times New Roman"/>
          <w:b w:val="false"/>
          <w:i w:val="false"/>
          <w:color w:val="000000"/>
          <w:sz w:val="28"/>
        </w:rPr>
        <w:t>
      12) ректоскопию с биопсией;</w:t>
      </w:r>
    </w:p>
    <w:bookmarkEnd w:id="111"/>
    <w:bookmarkStart w:name="z117" w:id="112"/>
    <w:p>
      <w:pPr>
        <w:spacing w:after="0"/>
        <w:ind w:left="0"/>
        <w:jc w:val="both"/>
      </w:pPr>
      <w:r>
        <w:rPr>
          <w:rFonts w:ascii="Times New Roman"/>
          <w:b w:val="false"/>
          <w:i w:val="false"/>
          <w:color w:val="000000"/>
          <w:sz w:val="28"/>
        </w:rPr>
        <w:t>
      13) илеоколоноскопию с биопсией;</w:t>
      </w:r>
    </w:p>
    <w:bookmarkEnd w:id="112"/>
    <w:bookmarkStart w:name="z118" w:id="113"/>
    <w:p>
      <w:pPr>
        <w:spacing w:after="0"/>
        <w:ind w:left="0"/>
        <w:jc w:val="both"/>
      </w:pPr>
      <w:r>
        <w:rPr>
          <w:rFonts w:ascii="Times New Roman"/>
          <w:b w:val="false"/>
          <w:i w:val="false"/>
          <w:color w:val="000000"/>
          <w:sz w:val="28"/>
        </w:rPr>
        <w:t>
      14) цитологическое и гистологическое исследования;</w:t>
      </w:r>
    </w:p>
    <w:bookmarkEnd w:id="113"/>
    <w:bookmarkStart w:name="z119" w:id="114"/>
    <w:p>
      <w:pPr>
        <w:spacing w:after="0"/>
        <w:ind w:left="0"/>
        <w:jc w:val="both"/>
      </w:pPr>
      <w:r>
        <w:rPr>
          <w:rFonts w:ascii="Times New Roman"/>
          <w:b w:val="false"/>
          <w:i w:val="false"/>
          <w:color w:val="000000"/>
          <w:sz w:val="28"/>
        </w:rPr>
        <w:t>
      15) ультразвуковое исследование органов брюшной полости;</w:t>
      </w:r>
    </w:p>
    <w:bookmarkEnd w:id="114"/>
    <w:bookmarkStart w:name="z120" w:id="115"/>
    <w:p>
      <w:pPr>
        <w:spacing w:after="0"/>
        <w:ind w:left="0"/>
        <w:jc w:val="both"/>
      </w:pPr>
      <w:r>
        <w:rPr>
          <w:rFonts w:ascii="Times New Roman"/>
          <w:b w:val="false"/>
          <w:i w:val="false"/>
          <w:color w:val="000000"/>
          <w:sz w:val="28"/>
        </w:rPr>
        <w:t>
      16) эластометрию (эластографию) печени;</w:t>
      </w:r>
    </w:p>
    <w:bookmarkEnd w:id="115"/>
    <w:bookmarkStart w:name="z121" w:id="116"/>
    <w:p>
      <w:pPr>
        <w:spacing w:after="0"/>
        <w:ind w:left="0"/>
        <w:jc w:val="both"/>
      </w:pPr>
      <w:r>
        <w:rPr>
          <w:rFonts w:ascii="Times New Roman"/>
          <w:b w:val="false"/>
          <w:i w:val="false"/>
          <w:color w:val="000000"/>
          <w:sz w:val="28"/>
        </w:rPr>
        <w:t>
      17) рентгенологические, в том числе, контрастные, исследования органов желудочно-кишечного тракта;</w:t>
      </w:r>
    </w:p>
    <w:bookmarkEnd w:id="116"/>
    <w:bookmarkStart w:name="z122" w:id="117"/>
    <w:p>
      <w:pPr>
        <w:spacing w:after="0"/>
        <w:ind w:left="0"/>
        <w:jc w:val="both"/>
      </w:pPr>
      <w:r>
        <w:rPr>
          <w:rFonts w:ascii="Times New Roman"/>
          <w:b w:val="false"/>
          <w:i w:val="false"/>
          <w:color w:val="000000"/>
          <w:sz w:val="28"/>
        </w:rPr>
        <w:t>
      18) компьютерную и (или) магниторезонансную томографию, магниторезонансную холангиопанкреатографию, а также энтерографию, колонографию.</w:t>
      </w:r>
    </w:p>
    <w:bookmarkEnd w:id="117"/>
    <w:bookmarkStart w:name="z123" w:id="118"/>
    <w:p>
      <w:pPr>
        <w:spacing w:after="0"/>
        <w:ind w:left="0"/>
        <w:jc w:val="both"/>
      </w:pPr>
      <w:r>
        <w:rPr>
          <w:rFonts w:ascii="Times New Roman"/>
          <w:b w:val="false"/>
          <w:i w:val="false"/>
          <w:color w:val="000000"/>
          <w:sz w:val="28"/>
        </w:rPr>
        <w:t>
      27. При отсутствии возможности оказания клинико-диагностических услуг в полном объеме данные услуги оказываются иными организациями здравоохранения на основании соответствующих договоров.</w:t>
      </w:r>
    </w:p>
    <w:bookmarkEnd w:id="118"/>
    <w:bookmarkStart w:name="z124" w:id="119"/>
    <w:p>
      <w:pPr>
        <w:spacing w:after="0"/>
        <w:ind w:left="0"/>
        <w:jc w:val="both"/>
      </w:pPr>
      <w:r>
        <w:rPr>
          <w:rFonts w:ascii="Times New Roman"/>
          <w:b w:val="false"/>
          <w:i w:val="false"/>
          <w:color w:val="000000"/>
          <w:sz w:val="28"/>
        </w:rPr>
        <w:t>
      28. ЦГГ может использоваться в качестве клинической базы организации образования в области здравоохранения.</w:t>
      </w:r>
    </w:p>
    <w:bookmarkEnd w:id="119"/>
    <w:bookmarkStart w:name="z125" w:id="120"/>
    <w:p>
      <w:pPr>
        <w:spacing w:after="0"/>
        <w:ind w:left="0"/>
        <w:jc w:val="left"/>
      </w:pPr>
      <w:r>
        <w:rPr>
          <w:rFonts w:ascii="Times New Roman"/>
          <w:b/>
          <w:i w:val="false"/>
          <w:color w:val="000000"/>
        </w:rPr>
        <w:t xml:space="preserve"> Глава 4. Общие характеристики деятельности организаций здравоохранения, оказывающих гастроэнтерологическую и гепатологическую помощь на стационарном уровне</w:t>
      </w:r>
    </w:p>
    <w:bookmarkEnd w:id="120"/>
    <w:bookmarkStart w:name="z126" w:id="121"/>
    <w:p>
      <w:pPr>
        <w:spacing w:after="0"/>
        <w:ind w:left="0"/>
        <w:jc w:val="both"/>
      </w:pPr>
      <w:r>
        <w:rPr>
          <w:rFonts w:ascii="Times New Roman"/>
          <w:b w:val="false"/>
          <w:i w:val="false"/>
          <w:color w:val="000000"/>
          <w:sz w:val="28"/>
        </w:rPr>
        <w:t>
      29. Гастроэнтерологическая и гепатологическая помощь на стационарном уровне предоставляется в районных, городских, областных больницах, ведомственных, республиканских и иных организациях здравоохранения, оказывающих стационарную помощь.</w:t>
      </w:r>
    </w:p>
    <w:bookmarkEnd w:id="121"/>
    <w:bookmarkStart w:name="z127" w:id="122"/>
    <w:p>
      <w:pPr>
        <w:spacing w:after="0"/>
        <w:ind w:left="0"/>
        <w:jc w:val="both"/>
      </w:pPr>
      <w:r>
        <w:rPr>
          <w:rFonts w:ascii="Times New Roman"/>
          <w:b w:val="false"/>
          <w:i w:val="false"/>
          <w:color w:val="000000"/>
          <w:sz w:val="28"/>
        </w:rPr>
        <w:t>
      30. Специализированная стационарная гастроэнтерологическая и гепатологическая помощь оказывается при заболеваниях органов пищеварения и их формах, требующих госпитализации в круглосуточные стационары, а также дневные стационары амбулаторно-поликлинических организаций или палаты дневного пребывания организаций здравоохранения, оказывающих стационарную помощь.</w:t>
      </w:r>
    </w:p>
    <w:bookmarkEnd w:id="122"/>
    <w:bookmarkStart w:name="z128" w:id="123"/>
    <w:p>
      <w:pPr>
        <w:spacing w:after="0"/>
        <w:ind w:left="0"/>
        <w:jc w:val="both"/>
      </w:pPr>
      <w:r>
        <w:rPr>
          <w:rFonts w:ascii="Times New Roman"/>
          <w:b w:val="false"/>
          <w:i w:val="false"/>
          <w:color w:val="000000"/>
          <w:sz w:val="28"/>
        </w:rPr>
        <w:t>
      31. Гастроэнтерологическая и гепатологическая помощь на стационарном уровне в виде ВТМУ оказывается при заболеваниях органов пищеварения, требующих использования высокотехнологичных методов диагностики и лечения.</w:t>
      </w:r>
    </w:p>
    <w:bookmarkEnd w:id="123"/>
    <w:bookmarkStart w:name="z129" w:id="124"/>
    <w:p>
      <w:pPr>
        <w:spacing w:after="0"/>
        <w:ind w:left="0"/>
        <w:jc w:val="both"/>
      </w:pPr>
      <w:r>
        <w:rPr>
          <w:rFonts w:ascii="Times New Roman"/>
          <w:b w:val="false"/>
          <w:i w:val="false"/>
          <w:color w:val="000000"/>
          <w:sz w:val="28"/>
        </w:rPr>
        <w:t>
      32. Нуждающимся в госпитализации пациентам с неосложненными (компенсированными) формами заболеваний органов пищеварения, не требующим специализированной гастроэнтерологической и гепатологической помощи, квалифицированная медицинская помощь на стационарном уровне оказывается врачом по специальности "Терапия (терапия подростковая, диетология)" в терапевтических (соматических) отделениях.</w:t>
      </w:r>
    </w:p>
    <w:bookmarkEnd w:id="124"/>
    <w:bookmarkStart w:name="z130" w:id="125"/>
    <w:p>
      <w:pPr>
        <w:spacing w:after="0"/>
        <w:ind w:left="0"/>
        <w:jc w:val="both"/>
      </w:pPr>
      <w:r>
        <w:rPr>
          <w:rFonts w:ascii="Times New Roman"/>
          <w:b w:val="false"/>
          <w:i w:val="false"/>
          <w:color w:val="000000"/>
          <w:sz w:val="28"/>
        </w:rPr>
        <w:t>
      33. Для оказания специализированной гастроэнтерологической и гепатологической помощи и ВТМУ в организациях здравоохранения, оказывающих стационарную помощь, создается отделение гастроэнтерологии (гастроэнтерологии и гепатологии) (далее – Отделение) или профилируются койки, палаты терапевтических (соматических) отделений.</w:t>
      </w:r>
    </w:p>
    <w:bookmarkEnd w:id="125"/>
    <w:bookmarkStart w:name="z131" w:id="126"/>
    <w:p>
      <w:pPr>
        <w:spacing w:after="0"/>
        <w:ind w:left="0"/>
        <w:jc w:val="both"/>
      </w:pPr>
      <w:r>
        <w:rPr>
          <w:rFonts w:ascii="Times New Roman"/>
          <w:b w:val="false"/>
          <w:i w:val="false"/>
          <w:color w:val="000000"/>
          <w:sz w:val="28"/>
        </w:rPr>
        <w:t>
      34. Создание Отделения, утверждение его структуры и штатного расписания осуществляется исходя из расчета:</w:t>
      </w:r>
    </w:p>
    <w:bookmarkEnd w:id="126"/>
    <w:bookmarkStart w:name="z132" w:id="127"/>
    <w:p>
      <w:pPr>
        <w:spacing w:after="0"/>
        <w:ind w:left="0"/>
        <w:jc w:val="both"/>
      </w:pPr>
      <w:r>
        <w:rPr>
          <w:rFonts w:ascii="Times New Roman"/>
          <w:b w:val="false"/>
          <w:i w:val="false"/>
          <w:color w:val="000000"/>
          <w:sz w:val="28"/>
        </w:rPr>
        <w:t>
      1) не менее одного на область, город республиканского значения;</w:t>
      </w:r>
    </w:p>
    <w:bookmarkEnd w:id="127"/>
    <w:bookmarkStart w:name="z133" w:id="128"/>
    <w:p>
      <w:pPr>
        <w:spacing w:after="0"/>
        <w:ind w:left="0"/>
        <w:jc w:val="both"/>
      </w:pPr>
      <w:r>
        <w:rPr>
          <w:rFonts w:ascii="Times New Roman"/>
          <w:b w:val="false"/>
          <w:i w:val="false"/>
          <w:color w:val="000000"/>
          <w:sz w:val="28"/>
        </w:rPr>
        <w:t>
      2) объема работы и структуры заболеваемости в регионе;</w:t>
      </w:r>
    </w:p>
    <w:bookmarkEnd w:id="128"/>
    <w:bookmarkStart w:name="z134" w:id="129"/>
    <w:p>
      <w:pPr>
        <w:spacing w:after="0"/>
        <w:ind w:left="0"/>
        <w:jc w:val="both"/>
      </w:pPr>
      <w:r>
        <w:rPr>
          <w:rFonts w:ascii="Times New Roman"/>
          <w:b w:val="false"/>
          <w:i w:val="false"/>
          <w:color w:val="000000"/>
          <w:sz w:val="28"/>
        </w:rPr>
        <w:t>
      3) согласно типовым штатам и штатными нормативами организаций здравоохранения, утверждаемых уполномоченным органом в области здравоохранения.</w:t>
      </w:r>
    </w:p>
    <w:bookmarkEnd w:id="129"/>
    <w:bookmarkStart w:name="z135" w:id="130"/>
    <w:p>
      <w:pPr>
        <w:spacing w:after="0"/>
        <w:ind w:left="0"/>
        <w:jc w:val="both"/>
      </w:pPr>
      <w:r>
        <w:rPr>
          <w:rFonts w:ascii="Times New Roman"/>
          <w:b w:val="false"/>
          <w:i w:val="false"/>
          <w:color w:val="000000"/>
          <w:sz w:val="28"/>
        </w:rPr>
        <w:t>
      35. Отделение возглавляет заведующий – врач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130"/>
    <w:bookmarkStart w:name="z136" w:id="131"/>
    <w:p>
      <w:pPr>
        <w:spacing w:after="0"/>
        <w:ind w:left="0"/>
        <w:jc w:val="both"/>
      </w:pPr>
      <w:r>
        <w:rPr>
          <w:rFonts w:ascii="Times New Roman"/>
          <w:b w:val="false"/>
          <w:i w:val="false"/>
          <w:color w:val="000000"/>
          <w:sz w:val="28"/>
        </w:rPr>
        <w:t>
      36. Отделение осуществляет:</w:t>
      </w:r>
    </w:p>
    <w:bookmarkEnd w:id="131"/>
    <w:bookmarkStart w:name="z137" w:id="132"/>
    <w:p>
      <w:pPr>
        <w:spacing w:after="0"/>
        <w:ind w:left="0"/>
        <w:jc w:val="both"/>
      </w:pPr>
      <w:r>
        <w:rPr>
          <w:rFonts w:ascii="Times New Roman"/>
          <w:b w:val="false"/>
          <w:i w:val="false"/>
          <w:color w:val="000000"/>
          <w:sz w:val="28"/>
        </w:rPr>
        <w:t>
      1) госпитализацию и оказание стационарной помощи пациентам с заболеваниями органов пищеварения по показаниям в соответствии с Клиническими протоколами;</w:t>
      </w:r>
    </w:p>
    <w:bookmarkEnd w:id="132"/>
    <w:bookmarkStart w:name="z138" w:id="133"/>
    <w:p>
      <w:pPr>
        <w:spacing w:after="0"/>
        <w:ind w:left="0"/>
        <w:jc w:val="both"/>
      </w:pPr>
      <w:r>
        <w:rPr>
          <w:rFonts w:ascii="Times New Roman"/>
          <w:b w:val="false"/>
          <w:i w:val="false"/>
          <w:color w:val="000000"/>
          <w:sz w:val="28"/>
        </w:rPr>
        <w:t>
      2) первый этап реабилитации пациентов, в том числе, перенесших оперативные вмешательства на органах пищеварения, согласно Стандартам реабилитации, утверждаемым уполномоченным органом в области здравоохранения;</w:t>
      </w:r>
    </w:p>
    <w:bookmarkEnd w:id="133"/>
    <w:bookmarkStart w:name="z139" w:id="134"/>
    <w:p>
      <w:pPr>
        <w:spacing w:after="0"/>
        <w:ind w:left="0"/>
        <w:jc w:val="both"/>
      </w:pPr>
      <w:r>
        <w:rPr>
          <w:rFonts w:ascii="Times New Roman"/>
          <w:b w:val="false"/>
          <w:i w:val="false"/>
          <w:color w:val="000000"/>
          <w:sz w:val="28"/>
        </w:rPr>
        <w:t>
      3) оказание консультативной помощи врачам и пациентам других отделений стационара;</w:t>
      </w:r>
    </w:p>
    <w:bookmarkEnd w:id="134"/>
    <w:bookmarkStart w:name="z140" w:id="135"/>
    <w:p>
      <w:pPr>
        <w:spacing w:after="0"/>
        <w:ind w:left="0"/>
        <w:jc w:val="both"/>
      </w:pPr>
      <w:r>
        <w:rPr>
          <w:rFonts w:ascii="Times New Roman"/>
          <w:b w:val="false"/>
          <w:i w:val="false"/>
          <w:color w:val="000000"/>
          <w:sz w:val="28"/>
        </w:rPr>
        <w:t>
      4) разработку и проведение мероприятий по повышению качества медицинской помощи и снижению больничной летальности от заболеваний органов пищеварения;</w:t>
      </w:r>
    </w:p>
    <w:bookmarkEnd w:id="135"/>
    <w:bookmarkStart w:name="z141" w:id="136"/>
    <w:p>
      <w:pPr>
        <w:spacing w:after="0"/>
        <w:ind w:left="0"/>
        <w:jc w:val="both"/>
      </w:pPr>
      <w:r>
        <w:rPr>
          <w:rFonts w:ascii="Times New Roman"/>
          <w:b w:val="false"/>
          <w:i w:val="false"/>
          <w:color w:val="000000"/>
          <w:sz w:val="28"/>
        </w:rPr>
        <w:t>
      5) участие в повышении квалификации врачебного и среднего медицинского персонала медицинской организации по вопросам профилактики и оказания медицинской помощи пациентам с заболеваниями органов пищеварения;</w:t>
      </w:r>
    </w:p>
    <w:bookmarkEnd w:id="136"/>
    <w:bookmarkStart w:name="z142" w:id="137"/>
    <w:p>
      <w:pPr>
        <w:spacing w:after="0"/>
        <w:ind w:left="0"/>
        <w:jc w:val="both"/>
      </w:pPr>
      <w:r>
        <w:rPr>
          <w:rFonts w:ascii="Times New Roman"/>
          <w:b w:val="false"/>
          <w:i w:val="false"/>
          <w:color w:val="000000"/>
          <w:sz w:val="28"/>
        </w:rPr>
        <w:t>
      6) внедрение в клиническую практику новых методов профилактики, диагностики, лечения и реабилитации пациентов с заболеваниями органов пищеварения;</w:t>
      </w:r>
    </w:p>
    <w:bookmarkEnd w:id="137"/>
    <w:bookmarkStart w:name="z143" w:id="138"/>
    <w:p>
      <w:pPr>
        <w:spacing w:after="0"/>
        <w:ind w:left="0"/>
        <w:jc w:val="both"/>
      </w:pPr>
      <w:r>
        <w:rPr>
          <w:rFonts w:ascii="Times New Roman"/>
          <w:b w:val="false"/>
          <w:i w:val="false"/>
          <w:color w:val="000000"/>
          <w:sz w:val="28"/>
        </w:rPr>
        <w:t>
      7) проведение санитарно-просветительской работы с пациентами и их родственниками;</w:t>
      </w:r>
    </w:p>
    <w:bookmarkEnd w:id="138"/>
    <w:bookmarkStart w:name="z144" w:id="139"/>
    <w:p>
      <w:pPr>
        <w:spacing w:after="0"/>
        <w:ind w:left="0"/>
        <w:jc w:val="both"/>
      </w:pPr>
      <w:r>
        <w:rPr>
          <w:rFonts w:ascii="Times New Roman"/>
          <w:b w:val="false"/>
          <w:i w:val="false"/>
          <w:color w:val="000000"/>
          <w:sz w:val="28"/>
        </w:rPr>
        <w:t>
      8) систематический анализ информации по госпитализированным пациентам, ведение учетной и отчетной документации.</w:t>
      </w:r>
    </w:p>
    <w:bookmarkEnd w:id="139"/>
    <w:bookmarkStart w:name="z145" w:id="140"/>
    <w:p>
      <w:pPr>
        <w:spacing w:after="0"/>
        <w:ind w:left="0"/>
        <w:jc w:val="both"/>
      </w:pPr>
      <w:r>
        <w:rPr>
          <w:rFonts w:ascii="Times New Roman"/>
          <w:b w:val="false"/>
          <w:i w:val="false"/>
          <w:color w:val="000000"/>
          <w:sz w:val="28"/>
        </w:rPr>
        <w:t>
      37. В составе медицинской организации, где создано Отделение, для обеспечения его деятельности также создаются условия для выполнения ультразвуковой, лучевой диагностики и эндоскопической диагностики с автоматической мойкой и стерилизацией эндоскопов и инструментов, в соответствующих подразделениях (кабинетах).</w:t>
      </w:r>
    </w:p>
    <w:bookmarkEnd w:id="140"/>
    <w:bookmarkStart w:name="z146" w:id="141"/>
    <w:p>
      <w:pPr>
        <w:spacing w:after="0"/>
        <w:ind w:left="0"/>
        <w:jc w:val="both"/>
      </w:pPr>
      <w:r>
        <w:rPr>
          <w:rFonts w:ascii="Times New Roman"/>
          <w:b w:val="false"/>
          <w:i w:val="false"/>
          <w:color w:val="000000"/>
          <w:sz w:val="28"/>
        </w:rPr>
        <w:t xml:space="preserve">
      38. Организация здравоохранения, в составе которой создано Отделение, оснащается минимальным перечнем медицинского оборудования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41"/>
    <w:bookmarkStart w:name="z147" w:id="142"/>
    <w:p>
      <w:pPr>
        <w:spacing w:after="0"/>
        <w:ind w:left="0"/>
        <w:jc w:val="both"/>
      </w:pPr>
      <w:r>
        <w:rPr>
          <w:rFonts w:ascii="Times New Roman"/>
          <w:b w:val="false"/>
          <w:i w:val="false"/>
          <w:color w:val="000000"/>
          <w:sz w:val="28"/>
        </w:rPr>
        <w:t>
      39. Минимальный перечень клинико-диагностических услуг в объеме гастроэнтерологической и гепатологической помощи, предоставляемых организацией здравоохранения, в составе которой создано Отделение, включает:</w:t>
      </w:r>
    </w:p>
    <w:bookmarkEnd w:id="142"/>
    <w:bookmarkStart w:name="z148" w:id="143"/>
    <w:p>
      <w:pPr>
        <w:spacing w:after="0"/>
        <w:ind w:left="0"/>
        <w:jc w:val="both"/>
      </w:pPr>
      <w:r>
        <w:rPr>
          <w:rFonts w:ascii="Times New Roman"/>
          <w:b w:val="false"/>
          <w:i w:val="false"/>
          <w:color w:val="000000"/>
          <w:sz w:val="28"/>
        </w:rPr>
        <w:t>
      1) общее клиническое обследование пациента;</w:t>
      </w:r>
    </w:p>
    <w:bookmarkEnd w:id="143"/>
    <w:bookmarkStart w:name="z149" w:id="144"/>
    <w:p>
      <w:pPr>
        <w:spacing w:after="0"/>
        <w:ind w:left="0"/>
        <w:jc w:val="both"/>
      </w:pPr>
      <w:r>
        <w:rPr>
          <w:rFonts w:ascii="Times New Roman"/>
          <w:b w:val="false"/>
          <w:i w:val="false"/>
          <w:color w:val="000000"/>
          <w:sz w:val="28"/>
        </w:rPr>
        <w:t>
      2) общий клинический анализ крови, мочи и кала;</w:t>
      </w:r>
    </w:p>
    <w:bookmarkEnd w:id="144"/>
    <w:bookmarkStart w:name="z150" w:id="145"/>
    <w:p>
      <w:pPr>
        <w:spacing w:after="0"/>
        <w:ind w:left="0"/>
        <w:jc w:val="both"/>
      </w:pPr>
      <w:r>
        <w:rPr>
          <w:rFonts w:ascii="Times New Roman"/>
          <w:b w:val="false"/>
          <w:i w:val="false"/>
          <w:color w:val="000000"/>
          <w:sz w:val="28"/>
        </w:rPr>
        <w:t>
      3) развернутый биохимический анализ крови;</w:t>
      </w:r>
    </w:p>
    <w:bookmarkEnd w:id="145"/>
    <w:bookmarkStart w:name="z151" w:id="146"/>
    <w:p>
      <w:pPr>
        <w:spacing w:after="0"/>
        <w:ind w:left="0"/>
        <w:jc w:val="both"/>
      </w:pPr>
      <w:r>
        <w:rPr>
          <w:rFonts w:ascii="Times New Roman"/>
          <w:b w:val="false"/>
          <w:i w:val="false"/>
          <w:color w:val="000000"/>
          <w:sz w:val="28"/>
        </w:rPr>
        <w:t>
      4) исследование свертывающей системы крови;</w:t>
      </w:r>
    </w:p>
    <w:bookmarkEnd w:id="146"/>
    <w:bookmarkStart w:name="z152" w:id="147"/>
    <w:p>
      <w:pPr>
        <w:spacing w:after="0"/>
        <w:ind w:left="0"/>
        <w:jc w:val="both"/>
      </w:pPr>
      <w:r>
        <w:rPr>
          <w:rFonts w:ascii="Times New Roman"/>
          <w:b w:val="false"/>
          <w:i w:val="false"/>
          <w:color w:val="000000"/>
          <w:sz w:val="28"/>
        </w:rPr>
        <w:t>
      5) серологические и молекулярные исследования на инфекции;</w:t>
      </w:r>
    </w:p>
    <w:bookmarkEnd w:id="147"/>
    <w:bookmarkStart w:name="z153" w:id="148"/>
    <w:p>
      <w:pPr>
        <w:spacing w:after="0"/>
        <w:ind w:left="0"/>
        <w:jc w:val="both"/>
      </w:pPr>
      <w:r>
        <w:rPr>
          <w:rFonts w:ascii="Times New Roman"/>
          <w:b w:val="false"/>
          <w:i w:val="false"/>
          <w:color w:val="000000"/>
          <w:sz w:val="28"/>
        </w:rPr>
        <w:t>
      6) иммунологические исследования (на наличие аутоантител, опухолевых маркеров);</w:t>
      </w:r>
    </w:p>
    <w:bookmarkEnd w:id="148"/>
    <w:bookmarkStart w:name="z154" w:id="149"/>
    <w:p>
      <w:pPr>
        <w:spacing w:after="0"/>
        <w:ind w:left="0"/>
        <w:jc w:val="both"/>
      </w:pPr>
      <w:r>
        <w:rPr>
          <w:rFonts w:ascii="Times New Roman"/>
          <w:b w:val="false"/>
          <w:i w:val="false"/>
          <w:color w:val="000000"/>
          <w:sz w:val="28"/>
        </w:rPr>
        <w:t>
      7) определение концентрации иммуносупрессивных препаратов в крови;</w:t>
      </w:r>
    </w:p>
    <w:bookmarkEnd w:id="149"/>
    <w:bookmarkStart w:name="z155" w:id="150"/>
    <w:p>
      <w:pPr>
        <w:spacing w:after="0"/>
        <w:ind w:left="0"/>
        <w:jc w:val="both"/>
      </w:pPr>
      <w:r>
        <w:rPr>
          <w:rFonts w:ascii="Times New Roman"/>
          <w:b w:val="false"/>
          <w:i w:val="false"/>
          <w:color w:val="000000"/>
          <w:sz w:val="28"/>
        </w:rPr>
        <w:t>
      8) определение иммуногенности препаратов биологической терапии;</w:t>
      </w:r>
    </w:p>
    <w:bookmarkEnd w:id="150"/>
    <w:bookmarkStart w:name="z156" w:id="151"/>
    <w:p>
      <w:pPr>
        <w:spacing w:after="0"/>
        <w:ind w:left="0"/>
        <w:jc w:val="both"/>
      </w:pPr>
      <w:r>
        <w:rPr>
          <w:rFonts w:ascii="Times New Roman"/>
          <w:b w:val="false"/>
          <w:i w:val="false"/>
          <w:color w:val="000000"/>
          <w:sz w:val="28"/>
        </w:rPr>
        <w:t>
      9) генетические исследования и лабораторные исследования на наличие орфанных заболеваний;</w:t>
      </w:r>
    </w:p>
    <w:bookmarkEnd w:id="151"/>
    <w:bookmarkStart w:name="z157" w:id="152"/>
    <w:p>
      <w:pPr>
        <w:spacing w:after="0"/>
        <w:ind w:left="0"/>
        <w:jc w:val="both"/>
      </w:pPr>
      <w:r>
        <w:rPr>
          <w:rFonts w:ascii="Times New Roman"/>
          <w:b w:val="false"/>
          <w:i w:val="false"/>
          <w:color w:val="000000"/>
          <w:sz w:val="28"/>
        </w:rPr>
        <w:t>
      10) исследование кала на скрытую кровь;</w:t>
      </w:r>
    </w:p>
    <w:bookmarkEnd w:id="152"/>
    <w:bookmarkStart w:name="z158" w:id="153"/>
    <w:p>
      <w:pPr>
        <w:spacing w:after="0"/>
        <w:ind w:left="0"/>
        <w:jc w:val="both"/>
      </w:pPr>
      <w:r>
        <w:rPr>
          <w:rFonts w:ascii="Times New Roman"/>
          <w:b w:val="false"/>
          <w:i w:val="false"/>
          <w:color w:val="000000"/>
          <w:sz w:val="28"/>
        </w:rPr>
        <w:t>
      11) бактериологические исследования;</w:t>
      </w:r>
    </w:p>
    <w:bookmarkEnd w:id="153"/>
    <w:bookmarkStart w:name="z159" w:id="154"/>
    <w:p>
      <w:pPr>
        <w:spacing w:after="0"/>
        <w:ind w:left="0"/>
        <w:jc w:val="both"/>
      </w:pPr>
      <w:r>
        <w:rPr>
          <w:rFonts w:ascii="Times New Roman"/>
          <w:b w:val="false"/>
          <w:i w:val="false"/>
          <w:color w:val="000000"/>
          <w:sz w:val="28"/>
        </w:rPr>
        <w:t>
      12) уреазный дыхательный тест и (или) определение Нр-антигена в кале;</w:t>
      </w:r>
    </w:p>
    <w:bookmarkEnd w:id="154"/>
    <w:bookmarkStart w:name="z160" w:id="155"/>
    <w:p>
      <w:pPr>
        <w:spacing w:after="0"/>
        <w:ind w:left="0"/>
        <w:jc w:val="both"/>
      </w:pPr>
      <w:r>
        <w:rPr>
          <w:rFonts w:ascii="Times New Roman"/>
          <w:b w:val="false"/>
          <w:i w:val="false"/>
          <w:color w:val="000000"/>
          <w:sz w:val="28"/>
        </w:rPr>
        <w:t>
      13) определение фекальной эластазы;</w:t>
      </w:r>
    </w:p>
    <w:bookmarkEnd w:id="155"/>
    <w:bookmarkStart w:name="z161" w:id="156"/>
    <w:p>
      <w:pPr>
        <w:spacing w:after="0"/>
        <w:ind w:left="0"/>
        <w:jc w:val="both"/>
      </w:pPr>
      <w:r>
        <w:rPr>
          <w:rFonts w:ascii="Times New Roman"/>
          <w:b w:val="false"/>
          <w:i w:val="false"/>
          <w:color w:val="000000"/>
          <w:sz w:val="28"/>
        </w:rPr>
        <w:t>
      14) определение фекального кальпротектина;</w:t>
      </w:r>
    </w:p>
    <w:bookmarkEnd w:id="156"/>
    <w:bookmarkStart w:name="z162" w:id="157"/>
    <w:p>
      <w:pPr>
        <w:spacing w:after="0"/>
        <w:ind w:left="0"/>
        <w:jc w:val="both"/>
      </w:pPr>
      <w:r>
        <w:rPr>
          <w:rFonts w:ascii="Times New Roman"/>
          <w:b w:val="false"/>
          <w:i w:val="false"/>
          <w:color w:val="000000"/>
          <w:sz w:val="28"/>
        </w:rPr>
        <w:t>
      15) эзофагогастроскопию с биопсией;</w:t>
      </w:r>
    </w:p>
    <w:bookmarkEnd w:id="157"/>
    <w:bookmarkStart w:name="z163" w:id="158"/>
    <w:p>
      <w:pPr>
        <w:spacing w:after="0"/>
        <w:ind w:left="0"/>
        <w:jc w:val="both"/>
      </w:pPr>
      <w:r>
        <w:rPr>
          <w:rFonts w:ascii="Times New Roman"/>
          <w:b w:val="false"/>
          <w:i w:val="false"/>
          <w:color w:val="000000"/>
          <w:sz w:val="28"/>
        </w:rPr>
        <w:t>
      16) дуоденоскопию с биопсией;</w:t>
      </w:r>
    </w:p>
    <w:bookmarkEnd w:id="158"/>
    <w:bookmarkStart w:name="z164" w:id="159"/>
    <w:p>
      <w:pPr>
        <w:spacing w:after="0"/>
        <w:ind w:left="0"/>
        <w:jc w:val="both"/>
      </w:pPr>
      <w:r>
        <w:rPr>
          <w:rFonts w:ascii="Times New Roman"/>
          <w:b w:val="false"/>
          <w:i w:val="false"/>
          <w:color w:val="000000"/>
          <w:sz w:val="28"/>
        </w:rPr>
        <w:t>
      17) колоноскопию с биопсией;</w:t>
      </w:r>
    </w:p>
    <w:bookmarkEnd w:id="159"/>
    <w:bookmarkStart w:name="z165" w:id="160"/>
    <w:p>
      <w:pPr>
        <w:spacing w:after="0"/>
        <w:ind w:left="0"/>
        <w:jc w:val="both"/>
      </w:pPr>
      <w:r>
        <w:rPr>
          <w:rFonts w:ascii="Times New Roman"/>
          <w:b w:val="false"/>
          <w:i w:val="false"/>
          <w:color w:val="000000"/>
          <w:sz w:val="28"/>
        </w:rPr>
        <w:t>
      18) пункционную биопсию печени;</w:t>
      </w:r>
    </w:p>
    <w:bookmarkEnd w:id="160"/>
    <w:bookmarkStart w:name="z166" w:id="161"/>
    <w:p>
      <w:pPr>
        <w:spacing w:after="0"/>
        <w:ind w:left="0"/>
        <w:jc w:val="both"/>
      </w:pPr>
      <w:r>
        <w:rPr>
          <w:rFonts w:ascii="Times New Roman"/>
          <w:b w:val="false"/>
          <w:i w:val="false"/>
          <w:color w:val="000000"/>
          <w:sz w:val="28"/>
        </w:rPr>
        <w:t>
      19) цитологическое и гистологическое исследования;</w:t>
      </w:r>
    </w:p>
    <w:bookmarkEnd w:id="161"/>
    <w:bookmarkStart w:name="z167" w:id="162"/>
    <w:p>
      <w:pPr>
        <w:spacing w:after="0"/>
        <w:ind w:left="0"/>
        <w:jc w:val="both"/>
      </w:pPr>
      <w:r>
        <w:rPr>
          <w:rFonts w:ascii="Times New Roman"/>
          <w:b w:val="false"/>
          <w:i w:val="false"/>
          <w:color w:val="000000"/>
          <w:sz w:val="28"/>
        </w:rPr>
        <w:t>
      20) эндоскопическую папиллосфинктеротомию;</w:t>
      </w:r>
    </w:p>
    <w:bookmarkEnd w:id="162"/>
    <w:bookmarkStart w:name="z168" w:id="163"/>
    <w:p>
      <w:pPr>
        <w:spacing w:after="0"/>
        <w:ind w:left="0"/>
        <w:jc w:val="both"/>
      </w:pPr>
      <w:r>
        <w:rPr>
          <w:rFonts w:ascii="Times New Roman"/>
          <w:b w:val="false"/>
          <w:i w:val="false"/>
          <w:color w:val="000000"/>
          <w:sz w:val="28"/>
        </w:rPr>
        <w:t>
      21) эндоскопическую ретроградную панкреатохолангиографию;</w:t>
      </w:r>
    </w:p>
    <w:bookmarkEnd w:id="163"/>
    <w:bookmarkStart w:name="z169" w:id="164"/>
    <w:p>
      <w:pPr>
        <w:spacing w:after="0"/>
        <w:ind w:left="0"/>
        <w:jc w:val="both"/>
      </w:pPr>
      <w:r>
        <w:rPr>
          <w:rFonts w:ascii="Times New Roman"/>
          <w:b w:val="false"/>
          <w:i w:val="false"/>
          <w:color w:val="000000"/>
          <w:sz w:val="28"/>
        </w:rPr>
        <w:t>
      22) эндоскопическую эксцизию полипов;</w:t>
      </w:r>
    </w:p>
    <w:bookmarkEnd w:id="164"/>
    <w:bookmarkStart w:name="z170" w:id="165"/>
    <w:p>
      <w:pPr>
        <w:spacing w:after="0"/>
        <w:ind w:left="0"/>
        <w:jc w:val="both"/>
      </w:pPr>
      <w:r>
        <w:rPr>
          <w:rFonts w:ascii="Times New Roman"/>
          <w:b w:val="false"/>
          <w:i w:val="false"/>
          <w:color w:val="000000"/>
          <w:sz w:val="28"/>
        </w:rPr>
        <w:t>
      23) лигирование (склерозирование) варикозно расширенных вен пищевода, желудка;</w:t>
      </w:r>
    </w:p>
    <w:bookmarkEnd w:id="165"/>
    <w:bookmarkStart w:name="z171" w:id="166"/>
    <w:p>
      <w:pPr>
        <w:spacing w:after="0"/>
        <w:ind w:left="0"/>
        <w:jc w:val="both"/>
      </w:pPr>
      <w:r>
        <w:rPr>
          <w:rFonts w:ascii="Times New Roman"/>
          <w:b w:val="false"/>
          <w:i w:val="false"/>
          <w:color w:val="000000"/>
          <w:sz w:val="28"/>
        </w:rPr>
        <w:t>
      24) внутрижелудочную рН-метрию;</w:t>
      </w:r>
    </w:p>
    <w:bookmarkEnd w:id="166"/>
    <w:bookmarkStart w:name="z172" w:id="167"/>
    <w:p>
      <w:pPr>
        <w:spacing w:after="0"/>
        <w:ind w:left="0"/>
        <w:jc w:val="both"/>
      </w:pPr>
      <w:r>
        <w:rPr>
          <w:rFonts w:ascii="Times New Roman"/>
          <w:b w:val="false"/>
          <w:i w:val="false"/>
          <w:color w:val="000000"/>
          <w:sz w:val="28"/>
        </w:rPr>
        <w:t>
      25) ультразвуковое исследование органов брюшной полости с допплерографическим картированием;</w:t>
      </w:r>
    </w:p>
    <w:bookmarkEnd w:id="167"/>
    <w:bookmarkStart w:name="z173" w:id="168"/>
    <w:p>
      <w:pPr>
        <w:spacing w:after="0"/>
        <w:ind w:left="0"/>
        <w:jc w:val="both"/>
      </w:pPr>
      <w:r>
        <w:rPr>
          <w:rFonts w:ascii="Times New Roman"/>
          <w:b w:val="false"/>
          <w:i w:val="false"/>
          <w:color w:val="000000"/>
          <w:sz w:val="28"/>
        </w:rPr>
        <w:t>
      26) эндоскопическое ультразвуковое исследование органов брюшной полости (эндосонографию);</w:t>
      </w:r>
    </w:p>
    <w:bookmarkEnd w:id="168"/>
    <w:bookmarkStart w:name="z174" w:id="169"/>
    <w:p>
      <w:pPr>
        <w:spacing w:after="0"/>
        <w:ind w:left="0"/>
        <w:jc w:val="both"/>
      </w:pPr>
      <w:r>
        <w:rPr>
          <w:rFonts w:ascii="Times New Roman"/>
          <w:b w:val="false"/>
          <w:i w:val="false"/>
          <w:color w:val="000000"/>
          <w:sz w:val="28"/>
        </w:rPr>
        <w:t>
      27) эластометрию (эластографию) печени</w:t>
      </w:r>
    </w:p>
    <w:bookmarkEnd w:id="169"/>
    <w:bookmarkStart w:name="z175" w:id="170"/>
    <w:p>
      <w:pPr>
        <w:spacing w:after="0"/>
        <w:ind w:left="0"/>
        <w:jc w:val="both"/>
      </w:pPr>
      <w:r>
        <w:rPr>
          <w:rFonts w:ascii="Times New Roman"/>
          <w:b w:val="false"/>
          <w:i w:val="false"/>
          <w:color w:val="000000"/>
          <w:sz w:val="28"/>
        </w:rPr>
        <w:t>
      28) рентгенологические, в том числе, контрастные, исследования органов желудочно-кишечного тракта;</w:t>
      </w:r>
    </w:p>
    <w:bookmarkEnd w:id="170"/>
    <w:bookmarkStart w:name="z176" w:id="171"/>
    <w:p>
      <w:pPr>
        <w:spacing w:after="0"/>
        <w:ind w:left="0"/>
        <w:jc w:val="both"/>
      </w:pPr>
      <w:r>
        <w:rPr>
          <w:rFonts w:ascii="Times New Roman"/>
          <w:b w:val="false"/>
          <w:i w:val="false"/>
          <w:color w:val="000000"/>
          <w:sz w:val="28"/>
        </w:rPr>
        <w:t>
      29) компьютерную и (или) магниторезонансную томографию, магниторезонансную холангиопанкреатографию, а также энтерографию, колонографию.</w:t>
      </w:r>
    </w:p>
    <w:bookmarkEnd w:id="171"/>
    <w:bookmarkStart w:name="z177" w:id="172"/>
    <w:p>
      <w:pPr>
        <w:spacing w:after="0"/>
        <w:ind w:left="0"/>
        <w:jc w:val="both"/>
      </w:pPr>
      <w:r>
        <w:rPr>
          <w:rFonts w:ascii="Times New Roman"/>
          <w:b w:val="false"/>
          <w:i w:val="false"/>
          <w:color w:val="000000"/>
          <w:sz w:val="28"/>
        </w:rPr>
        <w:t>
      40. При отсутствии возможности оказания пациентам с заболеваниями органов пищеварения клинико-диагностических услуг в полном объеме данные услуги оказываются иными организациями здравоохранения на основании соответствующих договоров.</w:t>
      </w:r>
    </w:p>
    <w:bookmarkEnd w:id="172"/>
    <w:bookmarkStart w:name="z178" w:id="173"/>
    <w:p>
      <w:pPr>
        <w:spacing w:after="0"/>
        <w:ind w:left="0"/>
        <w:jc w:val="both"/>
      </w:pPr>
      <w:r>
        <w:rPr>
          <w:rFonts w:ascii="Times New Roman"/>
          <w:b w:val="false"/>
          <w:i w:val="false"/>
          <w:color w:val="000000"/>
          <w:sz w:val="28"/>
        </w:rPr>
        <w:t>
      41. Отделение может использоваться в качестве клинической базы организации образования в области здравоохранения.</w:t>
      </w:r>
    </w:p>
    <w:bookmarkEnd w:id="173"/>
    <w:bookmarkStart w:name="z179" w:id="174"/>
    <w:p>
      <w:pPr>
        <w:spacing w:after="0"/>
        <w:ind w:left="0"/>
        <w:jc w:val="left"/>
      </w:pPr>
      <w:r>
        <w:rPr>
          <w:rFonts w:ascii="Times New Roman"/>
          <w:b/>
          <w:i w:val="false"/>
          <w:color w:val="000000"/>
        </w:rPr>
        <w:t xml:space="preserve"> Глава 5. Общие характеристики оказания медицинской помощи пациентам с хроническими вирусными гепатитами</w:t>
      </w:r>
    </w:p>
    <w:bookmarkEnd w:id="174"/>
    <w:bookmarkStart w:name="z180" w:id="175"/>
    <w:p>
      <w:pPr>
        <w:spacing w:after="0"/>
        <w:ind w:left="0"/>
        <w:jc w:val="both"/>
      </w:pPr>
      <w:r>
        <w:rPr>
          <w:rFonts w:ascii="Times New Roman"/>
          <w:b w:val="false"/>
          <w:i w:val="false"/>
          <w:color w:val="000000"/>
          <w:sz w:val="28"/>
        </w:rPr>
        <w:t>
      42. К хроническим вирусным гепатитам (далее – ХВГ) относятся хронический гепатит В (далее - ХГВ), хронический гепатит В с дельта-агентом, или хронический гепатит Д (далее - ХГД) и хронический гепатит С (далее - ХГС).</w:t>
      </w:r>
    </w:p>
    <w:bookmarkEnd w:id="175"/>
    <w:bookmarkStart w:name="z181" w:id="176"/>
    <w:p>
      <w:pPr>
        <w:spacing w:after="0"/>
        <w:ind w:left="0"/>
        <w:jc w:val="both"/>
      </w:pPr>
      <w:r>
        <w:rPr>
          <w:rFonts w:ascii="Times New Roman"/>
          <w:b w:val="false"/>
          <w:i w:val="false"/>
          <w:color w:val="000000"/>
          <w:sz w:val="28"/>
        </w:rPr>
        <w:t>
      43. Медицинская помощь пациентам с ХВГ в пределах Перечня ГОБМП и (или) ОСМС предоставляется в организациях, оказывающих амбулаторно-поликлиническую и стационарную помощь, включая республиканские организации здравоохранения.</w:t>
      </w:r>
    </w:p>
    <w:bookmarkEnd w:id="176"/>
    <w:bookmarkStart w:name="z182" w:id="177"/>
    <w:p>
      <w:pPr>
        <w:spacing w:after="0"/>
        <w:ind w:left="0"/>
        <w:jc w:val="both"/>
      </w:pPr>
      <w:r>
        <w:rPr>
          <w:rFonts w:ascii="Times New Roman"/>
          <w:b w:val="false"/>
          <w:i w:val="false"/>
          <w:color w:val="000000"/>
          <w:sz w:val="28"/>
        </w:rPr>
        <w:t>
      44. Медицинская помощь пациентам с ХВГ в пределах Перечня ГОБМП и (или) ОСМС оказывается в соответствии с Клиническими протоколами.</w:t>
      </w:r>
    </w:p>
    <w:bookmarkEnd w:id="177"/>
    <w:bookmarkStart w:name="z183" w:id="178"/>
    <w:p>
      <w:pPr>
        <w:spacing w:after="0"/>
        <w:ind w:left="0"/>
        <w:jc w:val="both"/>
      </w:pPr>
      <w:r>
        <w:rPr>
          <w:rFonts w:ascii="Times New Roman"/>
          <w:b w:val="false"/>
          <w:i w:val="false"/>
          <w:color w:val="000000"/>
          <w:sz w:val="28"/>
        </w:rPr>
        <w:t>
      45. Первичное обследование пациентов с ХВГ и подозрением на них осуществляет врач ПМСП.</w:t>
      </w:r>
    </w:p>
    <w:bookmarkEnd w:id="178"/>
    <w:bookmarkStart w:name="z184" w:id="179"/>
    <w:p>
      <w:pPr>
        <w:spacing w:after="0"/>
        <w:ind w:left="0"/>
        <w:jc w:val="both"/>
      </w:pPr>
      <w:r>
        <w:rPr>
          <w:rFonts w:ascii="Times New Roman"/>
          <w:b w:val="false"/>
          <w:i w:val="false"/>
          <w:color w:val="000000"/>
          <w:sz w:val="28"/>
        </w:rPr>
        <w:t>
      46. К оказанию специализированной медицинской помощи пациентам с ХВГ допускаются врачи по специальностям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прошедших повышение квалификации по вопросам гастроэнтерологии и гепатологии в объеме не менее 108 часов, и имеющие документы об образовании (сертификат повышения квалификации) соответствующего уровня, выдаваемого республиканскими организациями здравоохранения, определяемыми уполномоченным органом в области здравоохранения.</w:t>
      </w:r>
    </w:p>
    <w:bookmarkEnd w:id="179"/>
    <w:bookmarkStart w:name="z185" w:id="180"/>
    <w:p>
      <w:pPr>
        <w:spacing w:after="0"/>
        <w:ind w:left="0"/>
        <w:jc w:val="both"/>
      </w:pPr>
      <w:r>
        <w:rPr>
          <w:rFonts w:ascii="Times New Roman"/>
          <w:b w:val="false"/>
          <w:i w:val="false"/>
          <w:color w:val="000000"/>
          <w:sz w:val="28"/>
        </w:rPr>
        <w:t>
      47. Лабораторная (маркерная и молекулярная) диагностика ХВГ в пределах Перечня ГОБМП и (или) ОСМС проводится по направлению врача ПМСП по месту прикрепления в лабораториях организаций здравоохранения и (или) структурных подразделениях организаций здравоохранения, осуществляющих лабораторную диагностику, с учетом мощности данных лабораторий, качества исследований и обеспеченности оборудованием (включая наличие хемолюминесцентных анализаторов, а также ПЦР-анализаторов с автоматической подготовкой проб и высокочувствительным качественным и количественным тестированием в режиме реального времени с нижним лимитом определения менее 15 международных единиц).</w:t>
      </w:r>
    </w:p>
    <w:bookmarkEnd w:id="180"/>
    <w:bookmarkStart w:name="z186" w:id="181"/>
    <w:p>
      <w:pPr>
        <w:spacing w:after="0"/>
        <w:ind w:left="0"/>
        <w:jc w:val="both"/>
      </w:pPr>
      <w:r>
        <w:rPr>
          <w:rFonts w:ascii="Times New Roman"/>
          <w:b w:val="false"/>
          <w:i w:val="false"/>
          <w:color w:val="000000"/>
          <w:sz w:val="28"/>
        </w:rPr>
        <w:t>
      48. Оказание стационарной помощи осуществляется на базе гастроэнтерологических отделений (или отделений, имеющих гастроэнтерологическую профилизацию) многопрофильных или инфекционных больниц, определяемых местным органом государственного управления здравоохранением, а также республиканских медицинских организаций.</w:t>
      </w:r>
    </w:p>
    <w:bookmarkEnd w:id="181"/>
    <w:bookmarkStart w:name="z187" w:id="182"/>
    <w:p>
      <w:pPr>
        <w:spacing w:after="0"/>
        <w:ind w:left="0"/>
        <w:jc w:val="both"/>
      </w:pPr>
      <w:r>
        <w:rPr>
          <w:rFonts w:ascii="Times New Roman"/>
          <w:b w:val="false"/>
          <w:i w:val="false"/>
          <w:color w:val="000000"/>
          <w:sz w:val="28"/>
        </w:rPr>
        <w:t>
      49. Медицинская помощь пациентам с ХВГ включает:</w:t>
      </w:r>
    </w:p>
    <w:bookmarkEnd w:id="182"/>
    <w:bookmarkStart w:name="z188" w:id="183"/>
    <w:p>
      <w:pPr>
        <w:spacing w:after="0"/>
        <w:ind w:left="0"/>
        <w:jc w:val="both"/>
      </w:pPr>
      <w:r>
        <w:rPr>
          <w:rFonts w:ascii="Times New Roman"/>
          <w:b w:val="false"/>
          <w:i w:val="false"/>
          <w:color w:val="000000"/>
          <w:sz w:val="28"/>
        </w:rPr>
        <w:t>
      1) первичное обследование на ХВГ;</w:t>
      </w:r>
    </w:p>
    <w:bookmarkEnd w:id="183"/>
    <w:bookmarkStart w:name="z189" w:id="184"/>
    <w:p>
      <w:pPr>
        <w:spacing w:after="0"/>
        <w:ind w:left="0"/>
        <w:jc w:val="both"/>
      </w:pPr>
      <w:r>
        <w:rPr>
          <w:rFonts w:ascii="Times New Roman"/>
          <w:b w:val="false"/>
          <w:i w:val="false"/>
          <w:color w:val="000000"/>
          <w:sz w:val="28"/>
        </w:rPr>
        <w:t>
      2) подтверждение диагноза;</w:t>
      </w:r>
    </w:p>
    <w:bookmarkEnd w:id="184"/>
    <w:bookmarkStart w:name="z190" w:id="185"/>
    <w:p>
      <w:pPr>
        <w:spacing w:after="0"/>
        <w:ind w:left="0"/>
        <w:jc w:val="both"/>
      </w:pPr>
      <w:r>
        <w:rPr>
          <w:rFonts w:ascii="Times New Roman"/>
          <w:b w:val="false"/>
          <w:i w:val="false"/>
          <w:color w:val="000000"/>
          <w:sz w:val="28"/>
        </w:rPr>
        <w:t>
      3) углубленное обследование с определением показаний и противопоказаний к противовирусной терапии (далее – ПВТ);</w:t>
      </w:r>
    </w:p>
    <w:bookmarkEnd w:id="185"/>
    <w:bookmarkStart w:name="z191" w:id="186"/>
    <w:p>
      <w:pPr>
        <w:spacing w:after="0"/>
        <w:ind w:left="0"/>
        <w:jc w:val="both"/>
      </w:pPr>
      <w:r>
        <w:rPr>
          <w:rFonts w:ascii="Times New Roman"/>
          <w:b w:val="false"/>
          <w:i w:val="false"/>
          <w:color w:val="000000"/>
          <w:sz w:val="28"/>
        </w:rPr>
        <w:t>
      4) протокольное решение о назначении ПВТ;</w:t>
      </w:r>
    </w:p>
    <w:bookmarkEnd w:id="186"/>
    <w:bookmarkStart w:name="z192" w:id="187"/>
    <w:p>
      <w:pPr>
        <w:spacing w:after="0"/>
        <w:ind w:left="0"/>
        <w:jc w:val="both"/>
      </w:pPr>
      <w:r>
        <w:rPr>
          <w:rFonts w:ascii="Times New Roman"/>
          <w:b w:val="false"/>
          <w:i w:val="false"/>
          <w:color w:val="000000"/>
          <w:sz w:val="28"/>
        </w:rPr>
        <w:t>
      5) проведение и мониторинг ПВТ;</w:t>
      </w:r>
    </w:p>
    <w:bookmarkEnd w:id="187"/>
    <w:bookmarkStart w:name="z193" w:id="188"/>
    <w:p>
      <w:pPr>
        <w:spacing w:after="0"/>
        <w:ind w:left="0"/>
        <w:jc w:val="both"/>
      </w:pPr>
      <w:r>
        <w:rPr>
          <w:rFonts w:ascii="Times New Roman"/>
          <w:b w:val="false"/>
          <w:i w:val="false"/>
          <w:color w:val="000000"/>
          <w:sz w:val="28"/>
        </w:rPr>
        <w:t>
      6) профилактические меры и консультирование.</w:t>
      </w:r>
    </w:p>
    <w:bookmarkEnd w:id="188"/>
    <w:bookmarkStart w:name="z194" w:id="189"/>
    <w:p>
      <w:pPr>
        <w:spacing w:after="0"/>
        <w:ind w:left="0"/>
        <w:jc w:val="both"/>
      </w:pPr>
      <w:r>
        <w:rPr>
          <w:rFonts w:ascii="Times New Roman"/>
          <w:b w:val="false"/>
          <w:i w:val="false"/>
          <w:color w:val="000000"/>
          <w:sz w:val="28"/>
        </w:rPr>
        <w:t>
      50. Первичное обследование на вирусные гепатиты (далее – ВГ) в пределах Перечня ГОБМП и (или) ОСМС предусматривает следующее:</w:t>
      </w:r>
    </w:p>
    <w:bookmarkEnd w:id="189"/>
    <w:bookmarkStart w:name="z195" w:id="190"/>
    <w:p>
      <w:pPr>
        <w:spacing w:after="0"/>
        <w:ind w:left="0"/>
        <w:jc w:val="both"/>
      </w:pPr>
      <w:r>
        <w:rPr>
          <w:rFonts w:ascii="Times New Roman"/>
          <w:b w:val="false"/>
          <w:i w:val="false"/>
          <w:color w:val="000000"/>
          <w:sz w:val="28"/>
        </w:rPr>
        <w:t>
      1) направление на первичное обследование на ВГ проводится врачом ПМСП по месту прикрепления в организациях здравоохранения, оказывающих амбулаторно-поликлиническую помощь;</w:t>
      </w:r>
    </w:p>
    <w:bookmarkEnd w:id="190"/>
    <w:bookmarkStart w:name="z196" w:id="191"/>
    <w:p>
      <w:pPr>
        <w:spacing w:after="0"/>
        <w:ind w:left="0"/>
        <w:jc w:val="both"/>
      </w:pPr>
      <w:r>
        <w:rPr>
          <w:rFonts w:ascii="Times New Roman"/>
          <w:b w:val="false"/>
          <w:i w:val="false"/>
          <w:color w:val="000000"/>
          <w:sz w:val="28"/>
        </w:rPr>
        <w:t>
      2) охват в соответствии с установленными целевыми группами лиц, подлежащими профилактическим медицинским осмотрам, а также правилами и периодичностью проведения данных осмотров, определяемыми уполномоченным органом в области здравоохранения;</w:t>
      </w:r>
    </w:p>
    <w:bookmarkEnd w:id="191"/>
    <w:bookmarkStart w:name="z197" w:id="192"/>
    <w:p>
      <w:pPr>
        <w:spacing w:after="0"/>
        <w:ind w:left="0"/>
        <w:jc w:val="both"/>
      </w:pPr>
      <w:r>
        <w:rPr>
          <w:rFonts w:ascii="Times New Roman"/>
          <w:b w:val="false"/>
          <w:i w:val="false"/>
          <w:color w:val="000000"/>
          <w:sz w:val="28"/>
        </w:rPr>
        <w:t>
      3) включает следующий объем медицинской помощи:</w:t>
      </w:r>
    </w:p>
    <w:bookmarkEnd w:id="192"/>
    <w:bookmarkStart w:name="z198" w:id="193"/>
    <w:p>
      <w:pPr>
        <w:spacing w:after="0"/>
        <w:ind w:left="0"/>
        <w:jc w:val="both"/>
      </w:pPr>
      <w:r>
        <w:rPr>
          <w:rFonts w:ascii="Times New Roman"/>
          <w:b w:val="false"/>
          <w:i w:val="false"/>
          <w:color w:val="000000"/>
          <w:sz w:val="28"/>
        </w:rPr>
        <w:t>
      стандартную серологическую диагностику маркеров ВГ: HBsAg, anti-HDV (у носителей HBsAg) и anti-HCV с помощью хемолюминесцентного (при невозможности – иммуноферментного) анализа лицам, подлежащим первичному обследованию согласно Клиническим протоколам;</w:t>
      </w:r>
    </w:p>
    <w:bookmarkEnd w:id="193"/>
    <w:bookmarkStart w:name="z199" w:id="194"/>
    <w:p>
      <w:pPr>
        <w:spacing w:after="0"/>
        <w:ind w:left="0"/>
        <w:jc w:val="both"/>
      </w:pPr>
      <w:r>
        <w:rPr>
          <w:rFonts w:ascii="Times New Roman"/>
          <w:b w:val="false"/>
          <w:i w:val="false"/>
          <w:color w:val="000000"/>
          <w:sz w:val="28"/>
        </w:rPr>
        <w:t>
      дополнительно к стандартной серологической диагностике у лиц с подозрением на острый вирусный гепатит С, а также ХГС у иммунокомпромисных пациентов (с первичными, вторичными иммунодефицитными заболеваниями, а также находящихся на иммуносупрессивной терапии): определение HCV РНК с помощью полимеразной цепной реакции (ПЦР), а при невозможности - определение HCV core Ag;</w:t>
      </w:r>
    </w:p>
    <w:bookmarkEnd w:id="194"/>
    <w:bookmarkStart w:name="z200" w:id="195"/>
    <w:p>
      <w:pPr>
        <w:spacing w:after="0"/>
        <w:ind w:left="0"/>
        <w:jc w:val="both"/>
      </w:pPr>
      <w:r>
        <w:rPr>
          <w:rFonts w:ascii="Times New Roman"/>
          <w:b w:val="false"/>
          <w:i w:val="false"/>
          <w:color w:val="000000"/>
          <w:sz w:val="28"/>
        </w:rPr>
        <w:t>
      дополнительно к стандартной серологической диагностике у лиц, которым планируется проведение иммуносупрессивной терапии, а также находящихся на иммуносупрессивной терапии: anti-HBc с помощью хемолюминесцентного анализа;</w:t>
      </w:r>
    </w:p>
    <w:bookmarkEnd w:id="195"/>
    <w:bookmarkStart w:name="z201" w:id="196"/>
    <w:p>
      <w:pPr>
        <w:spacing w:after="0"/>
        <w:ind w:left="0"/>
        <w:jc w:val="both"/>
      </w:pPr>
      <w:r>
        <w:rPr>
          <w:rFonts w:ascii="Times New Roman"/>
          <w:b w:val="false"/>
          <w:i w:val="false"/>
          <w:color w:val="000000"/>
          <w:sz w:val="28"/>
        </w:rPr>
        <w:t>
      4) при положительных результатах скрининговых тестов и соответствующем подозрении на ХВГ, для дальнейшего обследования и определения тактики ведения пациенты направляются врачом ПМСП к врачу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организаций здравоохранения, оказывающих амбулаторно-поликлиническую помощь, по месту прикрепления.</w:t>
      </w:r>
    </w:p>
    <w:bookmarkEnd w:id="196"/>
    <w:bookmarkStart w:name="z202" w:id="197"/>
    <w:p>
      <w:pPr>
        <w:spacing w:after="0"/>
        <w:ind w:left="0"/>
        <w:jc w:val="both"/>
      </w:pPr>
      <w:r>
        <w:rPr>
          <w:rFonts w:ascii="Times New Roman"/>
          <w:b w:val="false"/>
          <w:i w:val="false"/>
          <w:color w:val="000000"/>
          <w:sz w:val="28"/>
        </w:rPr>
        <w:t>
      51. Подтверждение диагноза ХВГ в пределах Перечня ГОБМП и (или) ОСМС предусматривает следующее:</w:t>
      </w:r>
    </w:p>
    <w:bookmarkEnd w:id="197"/>
    <w:bookmarkStart w:name="z203" w:id="198"/>
    <w:p>
      <w:pPr>
        <w:spacing w:after="0"/>
        <w:ind w:left="0"/>
        <w:jc w:val="both"/>
      </w:pPr>
      <w:r>
        <w:rPr>
          <w:rFonts w:ascii="Times New Roman"/>
          <w:b w:val="false"/>
          <w:i w:val="false"/>
          <w:color w:val="000000"/>
          <w:sz w:val="28"/>
        </w:rPr>
        <w:t>
      1) осуществляется врачами по специальностям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по месту прикрепления, а при их отсутствии – врачом ПМСП;</w:t>
      </w:r>
    </w:p>
    <w:bookmarkEnd w:id="198"/>
    <w:bookmarkStart w:name="z204" w:id="199"/>
    <w:p>
      <w:pPr>
        <w:spacing w:after="0"/>
        <w:ind w:left="0"/>
        <w:jc w:val="both"/>
      </w:pPr>
      <w:r>
        <w:rPr>
          <w:rFonts w:ascii="Times New Roman"/>
          <w:b w:val="false"/>
          <w:i w:val="false"/>
          <w:color w:val="000000"/>
          <w:sz w:val="28"/>
        </w:rPr>
        <w:t>
      2) включает следующий объем медицинской помощи:</w:t>
      </w:r>
    </w:p>
    <w:bookmarkEnd w:id="199"/>
    <w:bookmarkStart w:name="z205" w:id="200"/>
    <w:p>
      <w:pPr>
        <w:spacing w:after="0"/>
        <w:ind w:left="0"/>
        <w:jc w:val="both"/>
      </w:pPr>
      <w:r>
        <w:rPr>
          <w:rFonts w:ascii="Times New Roman"/>
          <w:b w:val="false"/>
          <w:i w:val="false"/>
          <w:color w:val="000000"/>
          <w:sz w:val="28"/>
        </w:rPr>
        <w:t>
      при обнаружении HBsAg во всех случаях, а также anti-HBc у пациентов, которым планируется иммуносупрессивная терапия или находящихся на иммуносупрессивной терапии: определение HBeAg; anti-HBe; HBV ДНК с помощью ПЦР (качественный, количественный тест);</w:t>
      </w:r>
    </w:p>
    <w:bookmarkEnd w:id="200"/>
    <w:bookmarkStart w:name="z206" w:id="201"/>
    <w:p>
      <w:pPr>
        <w:spacing w:after="0"/>
        <w:ind w:left="0"/>
        <w:jc w:val="both"/>
      </w:pPr>
      <w:r>
        <w:rPr>
          <w:rFonts w:ascii="Times New Roman"/>
          <w:b w:val="false"/>
          <w:i w:val="false"/>
          <w:color w:val="000000"/>
          <w:sz w:val="28"/>
        </w:rPr>
        <w:t>
      при обнаружении anti-HDV: определение HDV РНК с помощью ПЦР (качественный, количественный тест);</w:t>
      </w:r>
    </w:p>
    <w:bookmarkEnd w:id="201"/>
    <w:bookmarkStart w:name="z207" w:id="202"/>
    <w:p>
      <w:pPr>
        <w:spacing w:after="0"/>
        <w:ind w:left="0"/>
        <w:jc w:val="both"/>
      </w:pPr>
      <w:r>
        <w:rPr>
          <w:rFonts w:ascii="Times New Roman"/>
          <w:b w:val="false"/>
          <w:i w:val="false"/>
          <w:color w:val="000000"/>
          <w:sz w:val="28"/>
        </w:rPr>
        <w:t>
      при обнаружении anti-HCV: определение HCV РНК с помощью ПЦР (качественный, количественный тест), при невозможности - определение HCV core Ag;</w:t>
      </w:r>
    </w:p>
    <w:bookmarkEnd w:id="202"/>
    <w:bookmarkStart w:name="z208" w:id="203"/>
    <w:p>
      <w:pPr>
        <w:spacing w:after="0"/>
        <w:ind w:left="0"/>
        <w:jc w:val="both"/>
      </w:pPr>
      <w:r>
        <w:rPr>
          <w:rFonts w:ascii="Times New Roman"/>
          <w:b w:val="false"/>
          <w:i w:val="false"/>
          <w:color w:val="000000"/>
          <w:sz w:val="28"/>
        </w:rPr>
        <w:t>
      проведение рутинного лабораторного и инструментального клинического обследования (общий анализ крови с подсчетом тромбоцитов, функциональные пробы печени, ультразвуковое исследование органов брюшной полости и другие исследования по показаниям в соответствии с Клиническими протоколами).</w:t>
      </w:r>
    </w:p>
    <w:bookmarkEnd w:id="203"/>
    <w:bookmarkStart w:name="z209" w:id="204"/>
    <w:p>
      <w:pPr>
        <w:spacing w:after="0"/>
        <w:ind w:left="0"/>
        <w:jc w:val="both"/>
      </w:pPr>
      <w:r>
        <w:rPr>
          <w:rFonts w:ascii="Times New Roman"/>
          <w:b w:val="false"/>
          <w:i w:val="false"/>
          <w:color w:val="000000"/>
          <w:sz w:val="28"/>
        </w:rPr>
        <w:t>
      3) диагноз ХВГ считается правомочным при длительности инфекции свыше 6 месяцев и для ХГВ устанавливается при наличии HBV ДНК и (или) HBsAg; для ХГD – при наличии HDV РНК; для ХГС – при наличии HCV РНК или HCV core Ag;</w:t>
      </w:r>
    </w:p>
    <w:bookmarkEnd w:id="204"/>
    <w:bookmarkStart w:name="z210" w:id="205"/>
    <w:p>
      <w:pPr>
        <w:spacing w:after="0"/>
        <w:ind w:left="0"/>
        <w:jc w:val="both"/>
      </w:pPr>
      <w:r>
        <w:rPr>
          <w:rFonts w:ascii="Times New Roman"/>
          <w:b w:val="false"/>
          <w:i w:val="false"/>
          <w:color w:val="000000"/>
          <w:sz w:val="28"/>
        </w:rPr>
        <w:t>
      4) по факту подтверждения диагноза ХВГ врач по специальности "Инфекционные болезни (взрослые)" по месту прикрепления, а в случае его отсутствия – врач ПМСП:</w:t>
      </w:r>
    </w:p>
    <w:bookmarkEnd w:id="205"/>
    <w:bookmarkStart w:name="z211" w:id="206"/>
    <w:p>
      <w:pPr>
        <w:spacing w:after="0"/>
        <w:ind w:left="0"/>
        <w:jc w:val="both"/>
      </w:pPr>
      <w:r>
        <w:rPr>
          <w:rFonts w:ascii="Times New Roman"/>
          <w:b w:val="false"/>
          <w:i w:val="false"/>
          <w:color w:val="000000"/>
          <w:sz w:val="28"/>
        </w:rPr>
        <w:t>
      вносит соответствующую информацию о пациенте в форму № 030-1/у "Карта индивидуального учета больных вирусными гепатитами "В" и "С" (далее – Карта) утвержденную приказом исполняющего обязанности Министра здравоохранения Республики Казахстан от 23 ноября 2010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в портальном режиме информация передается в ЦГГ и в территориальный филиал Республиканского государственное предприятие на праве хозяйственного ведения "Республиканский центр электронного здравоохранения";</w:t>
      </w:r>
    </w:p>
    <w:bookmarkEnd w:id="206"/>
    <w:bookmarkStart w:name="z212" w:id="207"/>
    <w:p>
      <w:pPr>
        <w:spacing w:after="0"/>
        <w:ind w:left="0"/>
        <w:jc w:val="both"/>
      </w:pPr>
      <w:r>
        <w:rPr>
          <w:rFonts w:ascii="Times New Roman"/>
          <w:b w:val="false"/>
          <w:i w:val="false"/>
          <w:color w:val="000000"/>
          <w:sz w:val="28"/>
        </w:rPr>
        <w:t>
      обеспечивает подачу утвержденной уполномоченным органом формы № 058у "Экстренное извещение об инфекционном заболевании, пищевом, остром профессиональном отравлении, необычной реакции на прививку" в территориальное подразделение ведомства уполномоченного органа, если таковой диагноз устанавливается впервые;</w:t>
      </w:r>
    </w:p>
    <w:bookmarkEnd w:id="207"/>
    <w:bookmarkStart w:name="z213" w:id="208"/>
    <w:p>
      <w:pPr>
        <w:spacing w:after="0"/>
        <w:ind w:left="0"/>
        <w:jc w:val="both"/>
      </w:pPr>
      <w:r>
        <w:rPr>
          <w:rFonts w:ascii="Times New Roman"/>
          <w:b w:val="false"/>
          <w:i w:val="false"/>
          <w:color w:val="000000"/>
          <w:sz w:val="28"/>
        </w:rPr>
        <w:t>
      5) врач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по месту прикрепления, а при его отсутствии – врач ПМСП – в целях определения дальнейшей тактики ведения направляют пациентов с установленным диагнозом ХВГ в ЦГГ.</w:t>
      </w:r>
    </w:p>
    <w:bookmarkEnd w:id="208"/>
    <w:bookmarkStart w:name="z214" w:id="209"/>
    <w:p>
      <w:pPr>
        <w:spacing w:after="0"/>
        <w:ind w:left="0"/>
        <w:jc w:val="both"/>
      </w:pPr>
      <w:r>
        <w:rPr>
          <w:rFonts w:ascii="Times New Roman"/>
          <w:b w:val="false"/>
          <w:i w:val="false"/>
          <w:color w:val="000000"/>
          <w:sz w:val="28"/>
        </w:rPr>
        <w:t>
      52. Углубленное обследование пациентов с ХВГ с определением показаний и противопоказаний к ПВТ в пределах Перечня ГОБМП и (или) ОСМС:</w:t>
      </w:r>
    </w:p>
    <w:bookmarkEnd w:id="209"/>
    <w:bookmarkStart w:name="z215" w:id="210"/>
    <w:p>
      <w:pPr>
        <w:spacing w:after="0"/>
        <w:ind w:left="0"/>
        <w:jc w:val="both"/>
      </w:pPr>
      <w:r>
        <w:rPr>
          <w:rFonts w:ascii="Times New Roman"/>
          <w:b w:val="false"/>
          <w:i w:val="false"/>
          <w:color w:val="000000"/>
          <w:sz w:val="28"/>
        </w:rPr>
        <w:t>
      1) осуществляется на базе ЦГГ согласно соответствующим Клиническим протоколам;</w:t>
      </w:r>
    </w:p>
    <w:bookmarkEnd w:id="210"/>
    <w:bookmarkStart w:name="z216" w:id="211"/>
    <w:p>
      <w:pPr>
        <w:spacing w:after="0"/>
        <w:ind w:left="0"/>
        <w:jc w:val="both"/>
      </w:pPr>
      <w:r>
        <w:rPr>
          <w:rFonts w:ascii="Times New Roman"/>
          <w:b w:val="false"/>
          <w:i w:val="false"/>
          <w:color w:val="000000"/>
          <w:sz w:val="28"/>
        </w:rPr>
        <w:t>
      2) у ВИЧ-инфицированных пациентов учитывается обязательное заключение специалиста по специальности "Инфекционные болезни (взрослые)" о статусе и фазе ВИЧ-инфекции, а также о проводимой антиретровирусной терапии;</w:t>
      </w:r>
    </w:p>
    <w:bookmarkEnd w:id="211"/>
    <w:bookmarkStart w:name="z217" w:id="212"/>
    <w:p>
      <w:pPr>
        <w:spacing w:after="0"/>
        <w:ind w:left="0"/>
        <w:jc w:val="both"/>
      </w:pPr>
      <w:r>
        <w:rPr>
          <w:rFonts w:ascii="Times New Roman"/>
          <w:b w:val="false"/>
          <w:i w:val="false"/>
          <w:color w:val="000000"/>
          <w:sz w:val="28"/>
        </w:rPr>
        <w:t>
      3) у пациентов, являющихся потребителями наркотиков, учитывается обязательное заключение нарколога (психиатра) о наличии или отсутствии ремиссии наркозависимости, а также проводимой заместительной терапии;</w:t>
      </w:r>
    </w:p>
    <w:bookmarkEnd w:id="212"/>
    <w:bookmarkStart w:name="z218" w:id="213"/>
    <w:p>
      <w:pPr>
        <w:spacing w:after="0"/>
        <w:ind w:left="0"/>
        <w:jc w:val="both"/>
      </w:pPr>
      <w:r>
        <w:rPr>
          <w:rFonts w:ascii="Times New Roman"/>
          <w:b w:val="false"/>
          <w:i w:val="false"/>
          <w:color w:val="000000"/>
          <w:sz w:val="28"/>
        </w:rPr>
        <w:t>
      4) у пациентов с хроническими заболеваниями учитывается заключение соответствующих профильных специалистов о статусе заболевания и проводимой терапии;</w:t>
      </w:r>
    </w:p>
    <w:bookmarkEnd w:id="213"/>
    <w:bookmarkStart w:name="z219" w:id="214"/>
    <w:p>
      <w:pPr>
        <w:spacing w:after="0"/>
        <w:ind w:left="0"/>
        <w:jc w:val="both"/>
      </w:pPr>
      <w:r>
        <w:rPr>
          <w:rFonts w:ascii="Times New Roman"/>
          <w:b w:val="false"/>
          <w:i w:val="false"/>
          <w:color w:val="000000"/>
          <w:sz w:val="28"/>
        </w:rPr>
        <w:t>
      5) включает следующий объем медицинской помощи:</w:t>
      </w:r>
    </w:p>
    <w:bookmarkEnd w:id="214"/>
    <w:bookmarkStart w:name="z220" w:id="215"/>
    <w:p>
      <w:pPr>
        <w:spacing w:after="0"/>
        <w:ind w:left="0"/>
        <w:jc w:val="both"/>
      </w:pPr>
      <w:r>
        <w:rPr>
          <w:rFonts w:ascii="Times New Roman"/>
          <w:b w:val="false"/>
          <w:i w:val="false"/>
          <w:color w:val="000000"/>
          <w:sz w:val="28"/>
        </w:rPr>
        <w:t>
      оценку вирусологического статуса (количественное определение ДНК или РНК, генотипирование) с помощью ПЦР;</w:t>
      </w:r>
    </w:p>
    <w:bookmarkEnd w:id="215"/>
    <w:bookmarkStart w:name="z221" w:id="216"/>
    <w:p>
      <w:pPr>
        <w:spacing w:after="0"/>
        <w:ind w:left="0"/>
        <w:jc w:val="both"/>
      </w:pPr>
      <w:r>
        <w:rPr>
          <w:rFonts w:ascii="Times New Roman"/>
          <w:b w:val="false"/>
          <w:i w:val="false"/>
          <w:color w:val="000000"/>
          <w:sz w:val="28"/>
        </w:rPr>
        <w:t>
      оценку активности и стадии заболевания с помощью непрямой эластографии печени другие исследования по показаниям;</w:t>
      </w:r>
    </w:p>
    <w:bookmarkEnd w:id="216"/>
    <w:bookmarkStart w:name="z222" w:id="217"/>
    <w:p>
      <w:pPr>
        <w:spacing w:after="0"/>
        <w:ind w:left="0"/>
        <w:jc w:val="both"/>
      </w:pPr>
      <w:r>
        <w:rPr>
          <w:rFonts w:ascii="Times New Roman"/>
          <w:b w:val="false"/>
          <w:i w:val="false"/>
          <w:color w:val="000000"/>
          <w:sz w:val="28"/>
        </w:rPr>
        <w:t>
      диагностику внепеченочных проявлений;</w:t>
      </w:r>
    </w:p>
    <w:bookmarkEnd w:id="217"/>
    <w:bookmarkStart w:name="z223" w:id="218"/>
    <w:p>
      <w:pPr>
        <w:spacing w:after="0"/>
        <w:ind w:left="0"/>
        <w:jc w:val="both"/>
      </w:pPr>
      <w:r>
        <w:rPr>
          <w:rFonts w:ascii="Times New Roman"/>
          <w:b w:val="false"/>
          <w:i w:val="false"/>
          <w:color w:val="000000"/>
          <w:sz w:val="28"/>
        </w:rPr>
        <w:t>
      диагностику сопутствующих заболеваний;</w:t>
      </w:r>
    </w:p>
    <w:bookmarkEnd w:id="218"/>
    <w:bookmarkStart w:name="z224" w:id="219"/>
    <w:p>
      <w:pPr>
        <w:spacing w:after="0"/>
        <w:ind w:left="0"/>
        <w:jc w:val="both"/>
      </w:pPr>
      <w:r>
        <w:rPr>
          <w:rFonts w:ascii="Times New Roman"/>
          <w:b w:val="false"/>
          <w:i w:val="false"/>
          <w:color w:val="000000"/>
          <w:sz w:val="28"/>
        </w:rPr>
        <w:t>
      определений показаний и противопоказаний к ПВТ;</w:t>
      </w:r>
    </w:p>
    <w:bookmarkEnd w:id="219"/>
    <w:bookmarkStart w:name="z225" w:id="220"/>
    <w:p>
      <w:pPr>
        <w:spacing w:after="0"/>
        <w:ind w:left="0"/>
        <w:jc w:val="both"/>
      </w:pPr>
      <w:r>
        <w:rPr>
          <w:rFonts w:ascii="Times New Roman"/>
          <w:b w:val="false"/>
          <w:i w:val="false"/>
          <w:color w:val="000000"/>
          <w:sz w:val="28"/>
        </w:rPr>
        <w:t>
      определение показаний к трансплантации печени;</w:t>
      </w:r>
    </w:p>
    <w:bookmarkEnd w:id="220"/>
    <w:bookmarkStart w:name="z226" w:id="221"/>
    <w:p>
      <w:pPr>
        <w:spacing w:after="0"/>
        <w:ind w:left="0"/>
        <w:jc w:val="both"/>
      </w:pPr>
      <w:r>
        <w:rPr>
          <w:rFonts w:ascii="Times New Roman"/>
          <w:b w:val="false"/>
          <w:i w:val="false"/>
          <w:color w:val="000000"/>
          <w:sz w:val="28"/>
        </w:rPr>
        <w:t>
      выдачу консультативного заключения.</w:t>
      </w:r>
    </w:p>
    <w:bookmarkEnd w:id="221"/>
    <w:bookmarkStart w:name="z227" w:id="222"/>
    <w:p>
      <w:pPr>
        <w:spacing w:after="0"/>
        <w:ind w:left="0"/>
        <w:jc w:val="both"/>
      </w:pPr>
      <w:r>
        <w:rPr>
          <w:rFonts w:ascii="Times New Roman"/>
          <w:b w:val="false"/>
          <w:i w:val="false"/>
          <w:color w:val="000000"/>
          <w:sz w:val="28"/>
        </w:rPr>
        <w:t>
      53. Решение о назначении ПВТ пациентам с ХВГ в пределах Перечня ГОБМП и (или) ОСМС принимается врачом ЦГГ по согласованию с руководителем ЦГГ; в сложных или спорных случаях, когда принятие данного решения невозможно на уровне ЦГГ, протокольное решение о назначении ПВТ принимается комиссией, утверждаемой местным органом государственного управления здравоохранением, в состав которой включаются:</w:t>
      </w:r>
    </w:p>
    <w:bookmarkEnd w:id="222"/>
    <w:bookmarkStart w:name="z228" w:id="223"/>
    <w:p>
      <w:pPr>
        <w:spacing w:after="0"/>
        <w:ind w:left="0"/>
        <w:jc w:val="both"/>
      </w:pPr>
      <w:r>
        <w:rPr>
          <w:rFonts w:ascii="Times New Roman"/>
          <w:b w:val="false"/>
          <w:i w:val="false"/>
          <w:color w:val="000000"/>
          <w:sz w:val="28"/>
        </w:rPr>
        <w:t>
      1) заместитель руководителя местного органа государственного управления здравоохранением (председатель);</w:t>
      </w:r>
    </w:p>
    <w:bookmarkEnd w:id="223"/>
    <w:bookmarkStart w:name="z229" w:id="224"/>
    <w:p>
      <w:pPr>
        <w:spacing w:after="0"/>
        <w:ind w:left="0"/>
        <w:jc w:val="both"/>
      </w:pPr>
      <w:r>
        <w:rPr>
          <w:rFonts w:ascii="Times New Roman"/>
          <w:b w:val="false"/>
          <w:i w:val="false"/>
          <w:color w:val="000000"/>
          <w:sz w:val="28"/>
        </w:rPr>
        <w:t>
      2) ответственные профильные специалисты (гастроэнтеролог, инфекционист) местного органа государственного управления здравоохранением;</w:t>
      </w:r>
    </w:p>
    <w:bookmarkEnd w:id="224"/>
    <w:bookmarkStart w:name="z230" w:id="225"/>
    <w:p>
      <w:pPr>
        <w:spacing w:after="0"/>
        <w:ind w:left="0"/>
        <w:jc w:val="both"/>
      </w:pPr>
      <w:r>
        <w:rPr>
          <w:rFonts w:ascii="Times New Roman"/>
          <w:b w:val="false"/>
          <w:i w:val="false"/>
          <w:color w:val="000000"/>
          <w:sz w:val="28"/>
        </w:rPr>
        <w:t>
      3) руководитель ЦГГ.</w:t>
      </w:r>
    </w:p>
    <w:bookmarkEnd w:id="225"/>
    <w:bookmarkStart w:name="z231" w:id="226"/>
    <w:p>
      <w:pPr>
        <w:spacing w:after="0"/>
        <w:ind w:left="0"/>
        <w:jc w:val="both"/>
      </w:pPr>
      <w:r>
        <w:rPr>
          <w:rFonts w:ascii="Times New Roman"/>
          <w:b w:val="false"/>
          <w:i w:val="false"/>
          <w:color w:val="000000"/>
          <w:sz w:val="28"/>
        </w:rPr>
        <w:t>
      54. Проведение и мониторинг ПВТ в пределах Перечня ГОБМП и (или) ОСМС предусматривает следующее:</w:t>
      </w:r>
    </w:p>
    <w:bookmarkEnd w:id="226"/>
    <w:bookmarkStart w:name="z232" w:id="227"/>
    <w:p>
      <w:pPr>
        <w:spacing w:after="0"/>
        <w:ind w:left="0"/>
        <w:jc w:val="both"/>
      </w:pPr>
      <w:r>
        <w:rPr>
          <w:rFonts w:ascii="Times New Roman"/>
          <w:b w:val="false"/>
          <w:i w:val="false"/>
          <w:color w:val="000000"/>
          <w:sz w:val="28"/>
        </w:rPr>
        <w:t>
      1) осуществление в ЦГГ по направлению врача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по месту прикрепления, а при его отсутствии – врача ПМСП;</w:t>
      </w:r>
    </w:p>
    <w:bookmarkEnd w:id="227"/>
    <w:bookmarkStart w:name="z233" w:id="228"/>
    <w:p>
      <w:pPr>
        <w:spacing w:after="0"/>
        <w:ind w:left="0"/>
        <w:jc w:val="both"/>
      </w:pPr>
      <w:r>
        <w:rPr>
          <w:rFonts w:ascii="Times New Roman"/>
          <w:b w:val="false"/>
          <w:i w:val="false"/>
          <w:color w:val="000000"/>
          <w:sz w:val="28"/>
        </w:rPr>
        <w:t>
      2) у пациентов без отягощающих факторов (ранее не получавших ПВТ, со стадией фиброза ниже F3, без сопутствующих заболеваний) возможное осуществление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по месту прикрепления, а при его отсутствии – врачом ПМСП, в соответствии с консультативным заключением, выданным ЦГГ;</w:t>
      </w:r>
    </w:p>
    <w:bookmarkEnd w:id="228"/>
    <w:bookmarkStart w:name="z234" w:id="229"/>
    <w:p>
      <w:pPr>
        <w:spacing w:after="0"/>
        <w:ind w:left="0"/>
        <w:jc w:val="both"/>
      </w:pPr>
      <w:r>
        <w:rPr>
          <w:rFonts w:ascii="Times New Roman"/>
          <w:b w:val="false"/>
          <w:i w:val="false"/>
          <w:color w:val="000000"/>
          <w:sz w:val="28"/>
        </w:rPr>
        <w:t>
      3) включает следующий объем медицинской помощи:</w:t>
      </w:r>
    </w:p>
    <w:bookmarkEnd w:id="229"/>
    <w:bookmarkStart w:name="z235" w:id="230"/>
    <w:p>
      <w:pPr>
        <w:spacing w:after="0"/>
        <w:ind w:left="0"/>
        <w:jc w:val="both"/>
      </w:pPr>
      <w:r>
        <w:rPr>
          <w:rFonts w:ascii="Times New Roman"/>
          <w:b w:val="false"/>
          <w:i w:val="false"/>
          <w:color w:val="000000"/>
          <w:sz w:val="28"/>
        </w:rPr>
        <w:t>
      определение приоритетности в проведении ПВТ согласно соответствующим Клиническим протоколам с внесением пациентов в лист ожидания, формируемый раздельно для детей и взрослых, а также для хронических гепатитов различной этиологии (ХГВ, ХГD и ХГС);</w:t>
      </w:r>
    </w:p>
    <w:bookmarkEnd w:id="230"/>
    <w:bookmarkStart w:name="z236" w:id="231"/>
    <w:p>
      <w:pPr>
        <w:spacing w:after="0"/>
        <w:ind w:left="0"/>
        <w:jc w:val="both"/>
      </w:pPr>
      <w:r>
        <w:rPr>
          <w:rFonts w:ascii="Times New Roman"/>
          <w:b w:val="false"/>
          <w:i w:val="false"/>
          <w:color w:val="000000"/>
          <w:sz w:val="28"/>
        </w:rPr>
        <w:t>
      исчерпывающие разъяснения о целях, правилах, режиме прогнозируемой эффективности, возможных побочных явлениях и рисках применения противовирусных препаратов, с последующим подписанием пациентом с ХВГ или его законными представителями информированного согласия;</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выписку рецептов на получение пациентами лекарственных средств, осуществляемую врачом ЦГГ или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"Инфекционные болезни (взрослые)" по месту прикрепления, а при его отсутствии – врачом ПМСП, в соответствии с консультативным заключением, выданным ЦГГ;</w:t>
      </w:r>
    </w:p>
    <w:bookmarkStart w:name="z238" w:id="232"/>
    <w:p>
      <w:pPr>
        <w:spacing w:after="0"/>
        <w:ind w:left="0"/>
        <w:jc w:val="both"/>
      </w:pPr>
      <w:r>
        <w:rPr>
          <w:rFonts w:ascii="Times New Roman"/>
          <w:b w:val="false"/>
          <w:i w:val="false"/>
          <w:color w:val="000000"/>
          <w:sz w:val="28"/>
        </w:rPr>
        <w:t>
      мониторинг и оценку эффективности, безопасности, а также модификацию режима ПВТ на основе клинико-лабораторных (в том числе серологических и молекулярных) исследований, проводимых во время лечения и спустя 6 месяцев по его окончании, согласно соответствующим Клиническим протоколам;</w:t>
      </w:r>
    </w:p>
    <w:bookmarkEnd w:id="232"/>
    <w:bookmarkStart w:name="z239" w:id="233"/>
    <w:p>
      <w:pPr>
        <w:spacing w:after="0"/>
        <w:ind w:left="0"/>
        <w:jc w:val="both"/>
      </w:pPr>
      <w:r>
        <w:rPr>
          <w:rFonts w:ascii="Times New Roman"/>
          <w:b w:val="false"/>
          <w:i w:val="false"/>
          <w:color w:val="000000"/>
          <w:sz w:val="28"/>
        </w:rPr>
        <w:t>
      4) ЦГГ обеспечивает ежемесячную подачу информации о количестве пациентов, взятых на ПВТ и о количестве пациентов, которым ПВТ была отменена или завершена, в местный орган государственного управления здравоохранением;</w:t>
      </w:r>
    </w:p>
    <w:bookmarkEnd w:id="233"/>
    <w:bookmarkStart w:name="z240" w:id="234"/>
    <w:p>
      <w:pPr>
        <w:spacing w:after="0"/>
        <w:ind w:left="0"/>
        <w:jc w:val="both"/>
      </w:pPr>
      <w:r>
        <w:rPr>
          <w:rFonts w:ascii="Times New Roman"/>
          <w:b w:val="false"/>
          <w:i w:val="false"/>
          <w:color w:val="000000"/>
          <w:sz w:val="28"/>
        </w:rPr>
        <w:t>
      5) отпуск противовирусных препаратов с их доведением до районного уровня с учетом потребности и доступности, а также контроль за отпуском и наличием препаратов, производятся организацией здравоохранения, осуществляющей фармацевтическую деятельность, определяемой местным органом государственного управления здравоохранением;</w:t>
      </w:r>
    </w:p>
    <w:bookmarkEnd w:id="234"/>
    <w:bookmarkStart w:name="z241" w:id="235"/>
    <w:p>
      <w:pPr>
        <w:spacing w:after="0"/>
        <w:ind w:left="0"/>
        <w:jc w:val="both"/>
      </w:pPr>
      <w:r>
        <w:rPr>
          <w:rFonts w:ascii="Times New Roman"/>
          <w:b w:val="false"/>
          <w:i w:val="false"/>
          <w:color w:val="000000"/>
          <w:sz w:val="28"/>
        </w:rPr>
        <w:t>
      6) проведение ПВТ и коррекция ее побочных эффектов может осуществляться в дневном или круглосуточном стационаре, включая (по показаниям) республиканские медицинские организации.</w:t>
      </w:r>
    </w:p>
    <w:bookmarkEnd w:id="235"/>
    <w:bookmarkStart w:name="z242" w:id="236"/>
    <w:p>
      <w:pPr>
        <w:spacing w:after="0"/>
        <w:ind w:left="0"/>
        <w:jc w:val="both"/>
      </w:pPr>
      <w:r>
        <w:rPr>
          <w:rFonts w:ascii="Times New Roman"/>
          <w:b w:val="false"/>
          <w:i w:val="false"/>
          <w:color w:val="000000"/>
          <w:sz w:val="28"/>
        </w:rPr>
        <w:t>
      55. Профилактические меры и консультирование пациентов предусматривают выполнение следующих положений:</w:t>
      </w:r>
    </w:p>
    <w:bookmarkEnd w:id="236"/>
    <w:bookmarkStart w:name="z243" w:id="237"/>
    <w:p>
      <w:pPr>
        <w:spacing w:after="0"/>
        <w:ind w:left="0"/>
        <w:jc w:val="both"/>
      </w:pPr>
      <w:r>
        <w:rPr>
          <w:rFonts w:ascii="Times New Roman"/>
          <w:b w:val="false"/>
          <w:i w:val="false"/>
          <w:color w:val="000000"/>
          <w:sz w:val="28"/>
        </w:rPr>
        <w:t>
      1) пациенты с ХВГ подлежат диспансерному учету и динамическому наблюдению по месту прикрепления;</w:t>
      </w:r>
    </w:p>
    <w:bookmarkEnd w:id="237"/>
    <w:bookmarkStart w:name="z244" w:id="238"/>
    <w:p>
      <w:pPr>
        <w:spacing w:after="0"/>
        <w:ind w:left="0"/>
        <w:jc w:val="both"/>
      </w:pPr>
      <w:r>
        <w:rPr>
          <w:rFonts w:ascii="Times New Roman"/>
          <w:b w:val="false"/>
          <w:i w:val="false"/>
          <w:color w:val="000000"/>
          <w:sz w:val="28"/>
        </w:rPr>
        <w:t>
      2) специалистами, осуществляющими ведение пациентов с ХВГ на всех этапах, даются исчерпывающие разъяснения относительно профилактики передачи инфекции, факторов риска прогрессирования заболевания, а также о репродуктивном здоровье и планировании семьи;</w:t>
      </w:r>
    </w:p>
    <w:bookmarkEnd w:id="238"/>
    <w:bookmarkStart w:name="z245" w:id="239"/>
    <w:p>
      <w:pPr>
        <w:spacing w:after="0"/>
        <w:ind w:left="0"/>
        <w:jc w:val="both"/>
      </w:pPr>
      <w:r>
        <w:rPr>
          <w:rFonts w:ascii="Times New Roman"/>
          <w:b w:val="false"/>
          <w:i w:val="false"/>
          <w:color w:val="000000"/>
          <w:sz w:val="28"/>
        </w:rPr>
        <w:t>
      3) пациенты с ХВГ, а также пациенты с устойчивым вирусологическим ответом после ПВТ со стадиями заболевания F3, F4 (циррозом печени) подлежат динамическому обследованию на гепатоцеллюлярную карциному, выполняемому на базе ЦГГ и включающему ультразвуковое исследование органов брюшной полости и определение альфа-фетопротеина в крови с интервалом не реже 6 месяцев.</w:t>
      </w:r>
    </w:p>
    <w:bookmarkEnd w:id="239"/>
    <w:bookmarkStart w:name="z246" w:id="240"/>
    <w:p>
      <w:pPr>
        <w:spacing w:after="0"/>
        <w:ind w:left="0"/>
        <w:jc w:val="both"/>
      </w:pPr>
      <w:r>
        <w:rPr>
          <w:rFonts w:ascii="Times New Roman"/>
          <w:b w:val="false"/>
          <w:i w:val="false"/>
          <w:color w:val="000000"/>
          <w:sz w:val="28"/>
        </w:rPr>
        <w:t>
      56. По факту установления диагноза ХВГ, результатам обследования, лечения, скрининга гепатоцеллюлярной карциномы, а также определения показаний к трансплантации печени, врач по специальности "Инфекционные болезни (взрослые)" по месту прикрепления, а при его отсутствии – врач ПМСП – вносит соответствующую информацию в Регистр "Вирусный гепатит" / медицинские информационные системы.</w:t>
      </w:r>
    </w:p>
    <w:bookmarkEnd w:id="240"/>
    <w:bookmarkStart w:name="z247" w:id="241"/>
    <w:p>
      <w:pPr>
        <w:spacing w:after="0"/>
        <w:ind w:left="0"/>
        <w:jc w:val="left"/>
      </w:pPr>
      <w:r>
        <w:rPr>
          <w:rFonts w:ascii="Times New Roman"/>
          <w:b/>
          <w:i w:val="false"/>
          <w:color w:val="000000"/>
        </w:rPr>
        <w:t xml:space="preserve"> Глава 6. Общие характеристики оказания медицинской помощи пациентам с воспалительными заболеваниями кишечника</w:t>
      </w:r>
    </w:p>
    <w:bookmarkEnd w:id="241"/>
    <w:bookmarkStart w:name="z248" w:id="242"/>
    <w:p>
      <w:pPr>
        <w:spacing w:after="0"/>
        <w:ind w:left="0"/>
        <w:jc w:val="both"/>
      </w:pPr>
      <w:r>
        <w:rPr>
          <w:rFonts w:ascii="Times New Roman"/>
          <w:b w:val="false"/>
          <w:i w:val="false"/>
          <w:color w:val="000000"/>
          <w:sz w:val="28"/>
        </w:rPr>
        <w:t>
      57. К воспалительным заболеваниям кишечника (далее - ВЗК) относятся язвенный колит (далее - ЯК), болезнь Крона (далее - БК), а также недифференцированный колит.</w:t>
      </w:r>
    </w:p>
    <w:bookmarkEnd w:id="242"/>
    <w:bookmarkStart w:name="z249" w:id="243"/>
    <w:p>
      <w:pPr>
        <w:spacing w:after="0"/>
        <w:ind w:left="0"/>
        <w:jc w:val="both"/>
      </w:pPr>
      <w:r>
        <w:rPr>
          <w:rFonts w:ascii="Times New Roman"/>
          <w:b w:val="false"/>
          <w:i w:val="false"/>
          <w:color w:val="000000"/>
          <w:sz w:val="28"/>
        </w:rPr>
        <w:t>
      58. Медицинская помощь пациентам с ВЗК в пределах Перечня ГОБМП и (или) ОСМС оказывается в соответствии с Клиническими протоколами.</w:t>
      </w:r>
    </w:p>
    <w:bookmarkEnd w:id="243"/>
    <w:bookmarkStart w:name="z250" w:id="244"/>
    <w:p>
      <w:pPr>
        <w:spacing w:after="0"/>
        <w:ind w:left="0"/>
        <w:jc w:val="both"/>
      </w:pPr>
      <w:r>
        <w:rPr>
          <w:rFonts w:ascii="Times New Roman"/>
          <w:b w:val="false"/>
          <w:i w:val="false"/>
          <w:color w:val="000000"/>
          <w:sz w:val="28"/>
        </w:rPr>
        <w:t>
      59. Медицинская помощь пациентам с ВЗК в пределах Перечня ГОБМП и (или) ОСМС предоставляется в организациях, оказывающих амбулаторно-поликлиническую и стационарную помощь, включая республиканские организации здравоохранения.</w:t>
      </w:r>
    </w:p>
    <w:bookmarkEnd w:id="244"/>
    <w:bookmarkStart w:name="z251" w:id="245"/>
    <w:p>
      <w:pPr>
        <w:spacing w:after="0"/>
        <w:ind w:left="0"/>
        <w:jc w:val="both"/>
      </w:pPr>
      <w:r>
        <w:rPr>
          <w:rFonts w:ascii="Times New Roman"/>
          <w:b w:val="false"/>
          <w:i w:val="false"/>
          <w:color w:val="000000"/>
          <w:sz w:val="28"/>
        </w:rPr>
        <w:t>
      60. Первичное обследование пациентов с ВЗК и подозрением на них осуществляет врач ПМСП или врач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по месту прикрепления по направлению врача ПМСП.</w:t>
      </w:r>
    </w:p>
    <w:bookmarkEnd w:id="245"/>
    <w:bookmarkStart w:name="z252" w:id="246"/>
    <w:p>
      <w:pPr>
        <w:spacing w:after="0"/>
        <w:ind w:left="0"/>
        <w:jc w:val="both"/>
      </w:pPr>
      <w:r>
        <w:rPr>
          <w:rFonts w:ascii="Times New Roman"/>
          <w:b w:val="false"/>
          <w:i w:val="false"/>
          <w:color w:val="000000"/>
          <w:sz w:val="28"/>
        </w:rPr>
        <w:t>
      61. К оказанию специализированной (гастроэнтерологической) медицинской помощи пациентам с ВЗК допускаются врачи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прошедшие повышение квалификации в объеме не менее 108 часов, и имеющие документы об образовании соответствующего уровня, выдаваемого республиканскими организациями здравоохранения, определяемыми уполномоченным органом в области здравоохранения.</w:t>
      </w:r>
    </w:p>
    <w:bookmarkEnd w:id="246"/>
    <w:bookmarkStart w:name="z253" w:id="247"/>
    <w:p>
      <w:pPr>
        <w:spacing w:after="0"/>
        <w:ind w:left="0"/>
        <w:jc w:val="both"/>
      </w:pPr>
      <w:r>
        <w:rPr>
          <w:rFonts w:ascii="Times New Roman"/>
          <w:b w:val="false"/>
          <w:i w:val="false"/>
          <w:color w:val="000000"/>
          <w:sz w:val="28"/>
        </w:rPr>
        <w:t>
      62. Оказание специализированной стационарной помощи пациентам ВЗК осуществляется на базе гастроэнтерологических отделений (или отделений, имеющих гастроэнтерологическую профилизацию) или отделения колопроктологии (или хирургических отделений, имеющих колопроктологическую специализацию) многопрофильных больниц, определяемых местным органом государственного управления здравоохранением, и республиканских организациях здравоохранения.</w:t>
      </w:r>
    </w:p>
    <w:bookmarkEnd w:id="247"/>
    <w:bookmarkStart w:name="z254" w:id="248"/>
    <w:p>
      <w:pPr>
        <w:spacing w:after="0"/>
        <w:ind w:left="0"/>
        <w:jc w:val="both"/>
      </w:pPr>
      <w:r>
        <w:rPr>
          <w:rFonts w:ascii="Times New Roman"/>
          <w:b w:val="false"/>
          <w:i w:val="false"/>
          <w:color w:val="000000"/>
          <w:sz w:val="28"/>
        </w:rPr>
        <w:t>
      63. Медицинская помощь пациентам с ВЗК включает:</w:t>
      </w:r>
    </w:p>
    <w:bookmarkEnd w:id="248"/>
    <w:bookmarkStart w:name="z255" w:id="249"/>
    <w:p>
      <w:pPr>
        <w:spacing w:after="0"/>
        <w:ind w:left="0"/>
        <w:jc w:val="both"/>
      </w:pPr>
      <w:r>
        <w:rPr>
          <w:rFonts w:ascii="Times New Roman"/>
          <w:b w:val="false"/>
          <w:i w:val="false"/>
          <w:color w:val="000000"/>
          <w:sz w:val="28"/>
        </w:rPr>
        <w:t>
      1) первичное обследование;</w:t>
      </w:r>
    </w:p>
    <w:bookmarkEnd w:id="249"/>
    <w:bookmarkStart w:name="z256" w:id="250"/>
    <w:p>
      <w:pPr>
        <w:spacing w:after="0"/>
        <w:ind w:left="0"/>
        <w:jc w:val="both"/>
      </w:pPr>
      <w:r>
        <w:rPr>
          <w:rFonts w:ascii="Times New Roman"/>
          <w:b w:val="false"/>
          <w:i w:val="false"/>
          <w:color w:val="000000"/>
          <w:sz w:val="28"/>
        </w:rPr>
        <w:t>
      2) верификацию диагноза;</w:t>
      </w:r>
    </w:p>
    <w:bookmarkEnd w:id="250"/>
    <w:bookmarkStart w:name="z257" w:id="251"/>
    <w:p>
      <w:pPr>
        <w:spacing w:after="0"/>
        <w:ind w:left="0"/>
        <w:jc w:val="both"/>
      </w:pPr>
      <w:r>
        <w:rPr>
          <w:rFonts w:ascii="Times New Roman"/>
          <w:b w:val="false"/>
          <w:i w:val="false"/>
          <w:color w:val="000000"/>
          <w:sz w:val="28"/>
        </w:rPr>
        <w:t>
      3) выбор режима терапии с определением показаний к иммуносупрессивной и биологической терапии;</w:t>
      </w:r>
    </w:p>
    <w:bookmarkEnd w:id="251"/>
    <w:bookmarkStart w:name="z258" w:id="252"/>
    <w:p>
      <w:pPr>
        <w:spacing w:after="0"/>
        <w:ind w:left="0"/>
        <w:jc w:val="both"/>
      </w:pPr>
      <w:r>
        <w:rPr>
          <w:rFonts w:ascii="Times New Roman"/>
          <w:b w:val="false"/>
          <w:i w:val="false"/>
          <w:color w:val="000000"/>
          <w:sz w:val="28"/>
        </w:rPr>
        <w:t>
      4) протокольное решение о проведении иммуносупрессивной и (или) биологической терапии;</w:t>
      </w:r>
    </w:p>
    <w:bookmarkEnd w:id="252"/>
    <w:bookmarkStart w:name="z259" w:id="253"/>
    <w:p>
      <w:pPr>
        <w:spacing w:after="0"/>
        <w:ind w:left="0"/>
        <w:jc w:val="both"/>
      </w:pPr>
      <w:r>
        <w:rPr>
          <w:rFonts w:ascii="Times New Roman"/>
          <w:b w:val="false"/>
          <w:i w:val="false"/>
          <w:color w:val="000000"/>
          <w:sz w:val="28"/>
        </w:rPr>
        <w:t>
      5) проведение и мониторинг терапии;</w:t>
      </w:r>
    </w:p>
    <w:bookmarkEnd w:id="253"/>
    <w:bookmarkStart w:name="z260" w:id="254"/>
    <w:p>
      <w:pPr>
        <w:spacing w:after="0"/>
        <w:ind w:left="0"/>
        <w:jc w:val="both"/>
      </w:pPr>
      <w:r>
        <w:rPr>
          <w:rFonts w:ascii="Times New Roman"/>
          <w:b w:val="false"/>
          <w:i w:val="false"/>
          <w:color w:val="000000"/>
          <w:sz w:val="28"/>
        </w:rPr>
        <w:t>
      6) профилактические меры и консультирование.</w:t>
      </w:r>
    </w:p>
    <w:bookmarkEnd w:id="254"/>
    <w:bookmarkStart w:name="z261" w:id="255"/>
    <w:p>
      <w:pPr>
        <w:spacing w:after="0"/>
        <w:ind w:left="0"/>
        <w:jc w:val="both"/>
      </w:pPr>
      <w:r>
        <w:rPr>
          <w:rFonts w:ascii="Times New Roman"/>
          <w:b w:val="false"/>
          <w:i w:val="false"/>
          <w:color w:val="000000"/>
          <w:sz w:val="28"/>
        </w:rPr>
        <w:t>
      64. Первичное обследование пациентов с ВЗК и подозрением на них в пределах Перечня ГОБМП и (или) ОСМС предусматривает следующие обследования:</w:t>
      </w:r>
    </w:p>
    <w:bookmarkEnd w:id="255"/>
    <w:bookmarkStart w:name="z262" w:id="256"/>
    <w:p>
      <w:pPr>
        <w:spacing w:after="0"/>
        <w:ind w:left="0"/>
        <w:jc w:val="both"/>
      </w:pPr>
      <w:r>
        <w:rPr>
          <w:rFonts w:ascii="Times New Roman"/>
          <w:b w:val="false"/>
          <w:i w:val="false"/>
          <w:color w:val="000000"/>
          <w:sz w:val="28"/>
        </w:rPr>
        <w:t>
      1) осуществляется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либо (при отсутствии) – врачом ПМСП;</w:t>
      </w:r>
    </w:p>
    <w:bookmarkEnd w:id="256"/>
    <w:bookmarkStart w:name="z263" w:id="257"/>
    <w:p>
      <w:pPr>
        <w:spacing w:after="0"/>
        <w:ind w:left="0"/>
        <w:jc w:val="both"/>
      </w:pPr>
      <w:r>
        <w:rPr>
          <w:rFonts w:ascii="Times New Roman"/>
          <w:b w:val="false"/>
          <w:i w:val="false"/>
          <w:color w:val="000000"/>
          <w:sz w:val="28"/>
        </w:rPr>
        <w:t>
      2) включает следующий объем медицинской помощи в соответствии с Клиническими протоколами:</w:t>
      </w:r>
    </w:p>
    <w:bookmarkEnd w:id="257"/>
    <w:bookmarkStart w:name="z264" w:id="258"/>
    <w:p>
      <w:pPr>
        <w:spacing w:after="0"/>
        <w:ind w:left="0"/>
        <w:jc w:val="both"/>
      </w:pPr>
      <w:r>
        <w:rPr>
          <w:rFonts w:ascii="Times New Roman"/>
          <w:b w:val="false"/>
          <w:i w:val="false"/>
          <w:color w:val="000000"/>
          <w:sz w:val="28"/>
        </w:rPr>
        <w:t>
      проведение рутинного лабораторного обследования (развернутый общий анализ крови с подсчетом тромбоцитов, биохимический профиль, коагулограмма, общий анализ мочи, копрограмма);</w:t>
      </w:r>
    </w:p>
    <w:bookmarkEnd w:id="258"/>
    <w:bookmarkStart w:name="z265" w:id="259"/>
    <w:p>
      <w:pPr>
        <w:spacing w:after="0"/>
        <w:ind w:left="0"/>
        <w:jc w:val="both"/>
      </w:pPr>
      <w:r>
        <w:rPr>
          <w:rFonts w:ascii="Times New Roman"/>
          <w:b w:val="false"/>
          <w:i w:val="false"/>
          <w:color w:val="000000"/>
          <w:sz w:val="28"/>
        </w:rPr>
        <w:t>
      определение острофазовых показателей (количественный СРБ);</w:t>
      </w:r>
    </w:p>
    <w:bookmarkEnd w:id="259"/>
    <w:bookmarkStart w:name="z266" w:id="260"/>
    <w:p>
      <w:pPr>
        <w:spacing w:after="0"/>
        <w:ind w:left="0"/>
        <w:jc w:val="both"/>
      </w:pPr>
      <w:r>
        <w:rPr>
          <w:rFonts w:ascii="Times New Roman"/>
          <w:b w:val="false"/>
          <w:i w:val="false"/>
          <w:color w:val="000000"/>
          <w:sz w:val="28"/>
        </w:rPr>
        <w:t>
      исследование кала на простейшие и гельминты; бактериологическое исследование на кишечный иерсиниоз, сальмонеллез, шигеллез;</w:t>
      </w:r>
    </w:p>
    <w:bookmarkEnd w:id="260"/>
    <w:bookmarkStart w:name="z267" w:id="261"/>
    <w:p>
      <w:pPr>
        <w:spacing w:after="0"/>
        <w:ind w:left="0"/>
        <w:jc w:val="both"/>
      </w:pPr>
      <w:r>
        <w:rPr>
          <w:rFonts w:ascii="Times New Roman"/>
          <w:b w:val="false"/>
          <w:i w:val="false"/>
          <w:color w:val="000000"/>
          <w:sz w:val="28"/>
        </w:rPr>
        <w:t>
      определение скрытой крови в кале (гемокульт-тест);</w:t>
      </w:r>
    </w:p>
    <w:bookmarkEnd w:id="261"/>
    <w:bookmarkStart w:name="z268" w:id="262"/>
    <w:p>
      <w:pPr>
        <w:spacing w:after="0"/>
        <w:ind w:left="0"/>
        <w:jc w:val="both"/>
      </w:pPr>
      <w:r>
        <w:rPr>
          <w:rFonts w:ascii="Times New Roman"/>
          <w:b w:val="false"/>
          <w:i w:val="false"/>
          <w:color w:val="000000"/>
          <w:sz w:val="28"/>
        </w:rPr>
        <w:t>
      определение фекального кальпротектина.</w:t>
      </w:r>
    </w:p>
    <w:bookmarkEnd w:id="262"/>
    <w:bookmarkStart w:name="z269" w:id="263"/>
    <w:p>
      <w:pPr>
        <w:spacing w:after="0"/>
        <w:ind w:left="0"/>
        <w:jc w:val="both"/>
      </w:pPr>
      <w:r>
        <w:rPr>
          <w:rFonts w:ascii="Times New Roman"/>
          <w:b w:val="false"/>
          <w:i w:val="false"/>
          <w:color w:val="000000"/>
          <w:sz w:val="28"/>
        </w:rPr>
        <w:t>
      3) при получении результатов, вызывающих подозрение на ВЗК, для дальнейшего обследования и определения тактики ведения пациенты направляются в ЦГГ.</w:t>
      </w:r>
    </w:p>
    <w:bookmarkEnd w:id="263"/>
    <w:bookmarkStart w:name="z270" w:id="264"/>
    <w:p>
      <w:pPr>
        <w:spacing w:after="0"/>
        <w:ind w:left="0"/>
        <w:jc w:val="both"/>
      </w:pPr>
      <w:r>
        <w:rPr>
          <w:rFonts w:ascii="Times New Roman"/>
          <w:b w:val="false"/>
          <w:i w:val="false"/>
          <w:color w:val="000000"/>
          <w:sz w:val="28"/>
        </w:rPr>
        <w:t>
      65. Верификация диагноза ВЗК в пределах Перечня ГОБМП и (или) ОСМС предусматривает следующее:</w:t>
      </w:r>
    </w:p>
    <w:bookmarkEnd w:id="264"/>
    <w:bookmarkStart w:name="z271" w:id="265"/>
    <w:p>
      <w:pPr>
        <w:spacing w:after="0"/>
        <w:ind w:left="0"/>
        <w:jc w:val="both"/>
      </w:pPr>
      <w:r>
        <w:rPr>
          <w:rFonts w:ascii="Times New Roman"/>
          <w:b w:val="false"/>
          <w:i w:val="false"/>
          <w:color w:val="000000"/>
          <w:sz w:val="28"/>
        </w:rPr>
        <w:t>
      1) осуществляется в ЦГГ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265"/>
    <w:bookmarkStart w:name="z272" w:id="266"/>
    <w:p>
      <w:pPr>
        <w:spacing w:after="0"/>
        <w:ind w:left="0"/>
        <w:jc w:val="both"/>
      </w:pPr>
      <w:r>
        <w:rPr>
          <w:rFonts w:ascii="Times New Roman"/>
          <w:b w:val="false"/>
          <w:i w:val="false"/>
          <w:color w:val="000000"/>
          <w:sz w:val="28"/>
        </w:rPr>
        <w:t>
      2) включает следующий объем медицинской помощи:</w:t>
      </w:r>
    </w:p>
    <w:bookmarkEnd w:id="266"/>
    <w:bookmarkStart w:name="z273" w:id="267"/>
    <w:p>
      <w:pPr>
        <w:spacing w:after="0"/>
        <w:ind w:left="0"/>
        <w:jc w:val="both"/>
      </w:pPr>
      <w:r>
        <w:rPr>
          <w:rFonts w:ascii="Times New Roman"/>
          <w:b w:val="false"/>
          <w:i w:val="false"/>
          <w:color w:val="000000"/>
          <w:sz w:val="28"/>
        </w:rPr>
        <w:t>
      иммунологические (серологические) исследования (определение аутоантител);</w:t>
      </w:r>
    </w:p>
    <w:bookmarkEnd w:id="267"/>
    <w:bookmarkStart w:name="z274" w:id="268"/>
    <w:p>
      <w:pPr>
        <w:spacing w:after="0"/>
        <w:ind w:left="0"/>
        <w:jc w:val="both"/>
      </w:pPr>
      <w:r>
        <w:rPr>
          <w:rFonts w:ascii="Times New Roman"/>
          <w:b w:val="false"/>
          <w:i w:val="false"/>
          <w:color w:val="000000"/>
          <w:sz w:val="28"/>
        </w:rPr>
        <w:t>
      определение токсинов А и В Clostridium dificile в кале;</w:t>
      </w:r>
    </w:p>
    <w:bookmarkEnd w:id="268"/>
    <w:bookmarkStart w:name="z275" w:id="269"/>
    <w:p>
      <w:pPr>
        <w:spacing w:after="0"/>
        <w:ind w:left="0"/>
        <w:jc w:val="both"/>
      </w:pPr>
      <w:r>
        <w:rPr>
          <w:rFonts w:ascii="Times New Roman"/>
          <w:b w:val="false"/>
          <w:i w:val="false"/>
          <w:color w:val="000000"/>
          <w:sz w:val="28"/>
        </w:rPr>
        <w:t>
      эндоскопические исследования (эзофагогастродуоденоскопию, илеоколоноскопию);</w:t>
      </w:r>
    </w:p>
    <w:bookmarkEnd w:id="269"/>
    <w:bookmarkStart w:name="z276" w:id="270"/>
    <w:p>
      <w:pPr>
        <w:spacing w:after="0"/>
        <w:ind w:left="0"/>
        <w:jc w:val="both"/>
      </w:pPr>
      <w:r>
        <w:rPr>
          <w:rFonts w:ascii="Times New Roman"/>
          <w:b w:val="false"/>
          <w:i w:val="false"/>
          <w:color w:val="000000"/>
          <w:sz w:val="28"/>
        </w:rPr>
        <w:t>
      патоморфологическое (гистологическое) исследование;</w:t>
      </w:r>
    </w:p>
    <w:bookmarkEnd w:id="270"/>
    <w:bookmarkStart w:name="z277" w:id="271"/>
    <w:p>
      <w:pPr>
        <w:spacing w:after="0"/>
        <w:ind w:left="0"/>
        <w:jc w:val="both"/>
      </w:pPr>
      <w:r>
        <w:rPr>
          <w:rFonts w:ascii="Times New Roman"/>
          <w:b w:val="false"/>
          <w:i w:val="false"/>
          <w:color w:val="000000"/>
          <w:sz w:val="28"/>
        </w:rPr>
        <w:t>
      ультразвуковое исследование органов брюшной полости (в том числе, кишечника) и малого таза;</w:t>
      </w:r>
    </w:p>
    <w:bookmarkEnd w:id="271"/>
    <w:bookmarkStart w:name="z278" w:id="272"/>
    <w:p>
      <w:pPr>
        <w:spacing w:after="0"/>
        <w:ind w:left="0"/>
        <w:jc w:val="both"/>
      </w:pPr>
      <w:r>
        <w:rPr>
          <w:rFonts w:ascii="Times New Roman"/>
          <w:b w:val="false"/>
          <w:i w:val="false"/>
          <w:color w:val="000000"/>
          <w:sz w:val="28"/>
        </w:rPr>
        <w:t>
      МРТ или КТ малого таза или органов брюшной полости;</w:t>
      </w:r>
    </w:p>
    <w:bookmarkEnd w:id="272"/>
    <w:bookmarkStart w:name="z279" w:id="273"/>
    <w:p>
      <w:pPr>
        <w:spacing w:after="0"/>
        <w:ind w:left="0"/>
        <w:jc w:val="both"/>
      </w:pPr>
      <w:r>
        <w:rPr>
          <w:rFonts w:ascii="Times New Roman"/>
          <w:b w:val="false"/>
          <w:i w:val="false"/>
          <w:color w:val="000000"/>
          <w:sz w:val="28"/>
        </w:rPr>
        <w:t>
      МР (КТ)-энтерографию (колонографию);</w:t>
      </w:r>
    </w:p>
    <w:bookmarkEnd w:id="273"/>
    <w:bookmarkStart w:name="z280" w:id="274"/>
    <w:p>
      <w:pPr>
        <w:spacing w:after="0"/>
        <w:ind w:left="0"/>
        <w:jc w:val="both"/>
      </w:pPr>
      <w:r>
        <w:rPr>
          <w:rFonts w:ascii="Times New Roman"/>
          <w:b w:val="false"/>
          <w:i w:val="false"/>
          <w:color w:val="000000"/>
          <w:sz w:val="28"/>
        </w:rPr>
        <w:t>
      другие исследования по показаниям;</w:t>
      </w:r>
    </w:p>
    <w:bookmarkEnd w:id="274"/>
    <w:bookmarkStart w:name="z281" w:id="275"/>
    <w:p>
      <w:pPr>
        <w:spacing w:after="0"/>
        <w:ind w:left="0"/>
        <w:jc w:val="both"/>
      </w:pPr>
      <w:r>
        <w:rPr>
          <w:rFonts w:ascii="Times New Roman"/>
          <w:b w:val="false"/>
          <w:i w:val="false"/>
          <w:color w:val="000000"/>
          <w:sz w:val="28"/>
        </w:rPr>
        <w:t>
      направление на консультацию к профильным врачам по специальностям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"Онкология (химиотерапия, маммология) (взрослая)", "Ревматология (взрослая)", "Инфекционные болезни (взрослые)", "Фтизиатрия (взрослая, детская)", "Офтальмология (взрослая, детская)" и другим) 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(при случаях ВЗК у женщин репродуктивного возраста, планирующих беременность, а также беременных).</w:t>
      </w:r>
    </w:p>
    <w:bookmarkEnd w:id="275"/>
    <w:bookmarkStart w:name="z282" w:id="276"/>
    <w:p>
      <w:pPr>
        <w:spacing w:after="0"/>
        <w:ind w:left="0"/>
        <w:jc w:val="both"/>
      </w:pPr>
      <w:r>
        <w:rPr>
          <w:rFonts w:ascii="Times New Roman"/>
          <w:b w:val="false"/>
          <w:i w:val="false"/>
          <w:color w:val="000000"/>
          <w:sz w:val="28"/>
        </w:rPr>
        <w:t>
      3) верификация диагноза и классификация заболевания осуществляется в соответствии с Клиническими протоколами и предусматривает установление нозологической формы, активности (тяжести) заболевания, внекишечных проявлений, осложнений, сопутствующих заболеваний, с выдачей пациенту соответствующего консультативного заключения;</w:t>
      </w:r>
    </w:p>
    <w:bookmarkEnd w:id="276"/>
    <w:bookmarkStart w:name="z283" w:id="277"/>
    <w:p>
      <w:pPr>
        <w:spacing w:after="0"/>
        <w:ind w:left="0"/>
        <w:jc w:val="both"/>
      </w:pPr>
      <w:r>
        <w:rPr>
          <w:rFonts w:ascii="Times New Roman"/>
          <w:b w:val="false"/>
          <w:i w:val="false"/>
          <w:color w:val="000000"/>
          <w:sz w:val="28"/>
        </w:rPr>
        <w:t>
      4) при наличии показаний пациент направляется на консультацию или госпитализацию в организацию республиканского уровня.</w:t>
      </w:r>
    </w:p>
    <w:bookmarkEnd w:id="277"/>
    <w:bookmarkStart w:name="z284" w:id="278"/>
    <w:p>
      <w:pPr>
        <w:spacing w:after="0"/>
        <w:ind w:left="0"/>
        <w:jc w:val="both"/>
      </w:pPr>
      <w:r>
        <w:rPr>
          <w:rFonts w:ascii="Times New Roman"/>
          <w:b w:val="false"/>
          <w:i w:val="false"/>
          <w:color w:val="000000"/>
          <w:sz w:val="28"/>
        </w:rPr>
        <w:t>
      66. Выбор режима терапии с определением показаний к иммуносупрессивной и биологической терапии предусматривает следующее:</w:t>
      </w:r>
    </w:p>
    <w:bookmarkEnd w:id="278"/>
    <w:bookmarkStart w:name="z285" w:id="279"/>
    <w:p>
      <w:pPr>
        <w:spacing w:after="0"/>
        <w:ind w:left="0"/>
        <w:jc w:val="both"/>
      </w:pPr>
      <w:r>
        <w:rPr>
          <w:rFonts w:ascii="Times New Roman"/>
          <w:b w:val="false"/>
          <w:i w:val="false"/>
          <w:color w:val="000000"/>
          <w:sz w:val="28"/>
        </w:rPr>
        <w:t>
      1) В случаях неосложненных форм ВЗК легкой и умеренной тяжести, не требующих госпитализации, осуществляется на базе ЦГГ решением консилиума с участием руководителя ЦГГ, ответственного профильного специалиста (гастроэнтеролога) местного органа государственного управления здравоохранением, других профильных специалистов (по показаниям), а также направившего пациента врача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или (при отсутствии) врача ПМСП по месту прикрепления;</w:t>
      </w:r>
    </w:p>
    <w:bookmarkEnd w:id="279"/>
    <w:bookmarkStart w:name="z286" w:id="280"/>
    <w:p>
      <w:pPr>
        <w:spacing w:after="0"/>
        <w:ind w:left="0"/>
        <w:jc w:val="both"/>
      </w:pPr>
      <w:r>
        <w:rPr>
          <w:rFonts w:ascii="Times New Roman"/>
          <w:b w:val="false"/>
          <w:i w:val="false"/>
          <w:color w:val="000000"/>
          <w:sz w:val="28"/>
        </w:rPr>
        <w:t>
      2) терапия проводится с учетом характера заболевания и, в случае предполагаемой иммуносупрессивной или биологической терапии, предусматривает дополнительное обследование, в том числе:</w:t>
      </w:r>
    </w:p>
    <w:bookmarkEnd w:id="280"/>
    <w:bookmarkStart w:name="z287" w:id="281"/>
    <w:p>
      <w:pPr>
        <w:spacing w:after="0"/>
        <w:ind w:left="0"/>
        <w:jc w:val="both"/>
      </w:pPr>
      <w:r>
        <w:rPr>
          <w:rFonts w:ascii="Times New Roman"/>
          <w:b w:val="false"/>
          <w:i w:val="false"/>
          <w:color w:val="000000"/>
          <w:sz w:val="28"/>
        </w:rPr>
        <w:t>
      серологические исследования на вирус Эпштейна-Барра, цитомегаловирус, вирус герпеса 1 и 2 типов (для исключения оппортунистических вирусных инфекций);</w:t>
      </w:r>
    </w:p>
    <w:bookmarkEnd w:id="281"/>
    <w:bookmarkStart w:name="z288" w:id="282"/>
    <w:p>
      <w:pPr>
        <w:spacing w:after="0"/>
        <w:ind w:left="0"/>
        <w:jc w:val="both"/>
      </w:pPr>
      <w:r>
        <w:rPr>
          <w:rFonts w:ascii="Times New Roman"/>
          <w:b w:val="false"/>
          <w:i w:val="false"/>
          <w:color w:val="000000"/>
          <w:sz w:val="28"/>
        </w:rPr>
        <w:t>
      пробу Манту (или другие специфические тесты на туберкулез) и рентгенографию или компьютерную томографию органов грудной клетки (для исключения активного туберкулеза или латентной туберкулезной инфекции);</w:t>
      </w:r>
    </w:p>
    <w:bookmarkEnd w:id="282"/>
    <w:bookmarkStart w:name="z289" w:id="283"/>
    <w:p>
      <w:pPr>
        <w:spacing w:after="0"/>
        <w:ind w:left="0"/>
        <w:jc w:val="both"/>
      </w:pPr>
      <w:r>
        <w:rPr>
          <w:rFonts w:ascii="Times New Roman"/>
          <w:b w:val="false"/>
          <w:i w:val="false"/>
          <w:color w:val="000000"/>
          <w:sz w:val="28"/>
        </w:rPr>
        <w:t>
      онкологический скрининг у женщин (РАР-тест, кольпоскопию, ПЦР на наличие вируса папилломы человека, консультация маммолога, онколога) и мужчин (определение общего и свободного простат-специфического антигена, консультацию онколога);</w:t>
      </w:r>
    </w:p>
    <w:bookmarkEnd w:id="283"/>
    <w:bookmarkStart w:name="z290" w:id="284"/>
    <w:p>
      <w:pPr>
        <w:spacing w:after="0"/>
        <w:ind w:left="0"/>
        <w:jc w:val="both"/>
      </w:pPr>
      <w:r>
        <w:rPr>
          <w:rFonts w:ascii="Times New Roman"/>
          <w:b w:val="false"/>
          <w:i w:val="false"/>
          <w:color w:val="000000"/>
          <w:sz w:val="28"/>
        </w:rPr>
        <w:t>
      электрокардиографию, эхокардиографию;</w:t>
      </w:r>
    </w:p>
    <w:bookmarkEnd w:id="284"/>
    <w:bookmarkStart w:name="z291" w:id="285"/>
    <w:p>
      <w:pPr>
        <w:spacing w:after="0"/>
        <w:ind w:left="0"/>
        <w:jc w:val="both"/>
      </w:pPr>
      <w:r>
        <w:rPr>
          <w:rFonts w:ascii="Times New Roman"/>
          <w:b w:val="false"/>
          <w:i w:val="false"/>
          <w:color w:val="000000"/>
          <w:sz w:val="28"/>
        </w:rPr>
        <w:t>
      определение метаболитов тиопуринов;</w:t>
      </w:r>
    </w:p>
    <w:bookmarkEnd w:id="285"/>
    <w:bookmarkStart w:name="z292" w:id="286"/>
    <w:p>
      <w:pPr>
        <w:spacing w:after="0"/>
        <w:ind w:left="0"/>
        <w:jc w:val="both"/>
      </w:pPr>
      <w:r>
        <w:rPr>
          <w:rFonts w:ascii="Times New Roman"/>
          <w:b w:val="false"/>
          <w:i w:val="false"/>
          <w:color w:val="000000"/>
          <w:sz w:val="28"/>
        </w:rPr>
        <w:t>
      другие исследования по показаниям.</w:t>
      </w:r>
    </w:p>
    <w:bookmarkEnd w:id="286"/>
    <w:bookmarkStart w:name="z293" w:id="287"/>
    <w:p>
      <w:pPr>
        <w:spacing w:after="0"/>
        <w:ind w:left="0"/>
        <w:jc w:val="both"/>
      </w:pPr>
      <w:r>
        <w:rPr>
          <w:rFonts w:ascii="Times New Roman"/>
          <w:b w:val="false"/>
          <w:i w:val="false"/>
          <w:color w:val="000000"/>
          <w:sz w:val="28"/>
        </w:rPr>
        <w:t>
      3) терапия основывается на Клинических протоколах, с внесением соответствующих рекомендаций в консультативное заключение, выдаваемое пациенту;</w:t>
      </w:r>
    </w:p>
    <w:bookmarkEnd w:id="287"/>
    <w:bookmarkStart w:name="z294" w:id="288"/>
    <w:p>
      <w:pPr>
        <w:spacing w:after="0"/>
        <w:ind w:left="0"/>
        <w:jc w:val="both"/>
      </w:pPr>
      <w:r>
        <w:rPr>
          <w:rFonts w:ascii="Times New Roman"/>
          <w:b w:val="false"/>
          <w:i w:val="false"/>
          <w:color w:val="000000"/>
          <w:sz w:val="28"/>
        </w:rPr>
        <w:t>
      4) при наличии показаний (тяжесть заболевания, резистентное к терапии течение, развитие осложнений, внекишечных проявлений, наличие тяжелых сопутствующих заболеваний, решение вопроса о пересмотре терапии) пациент направляется на консультацию и (или) госпитализацию в организацию республиканского уровня.</w:t>
      </w:r>
    </w:p>
    <w:bookmarkEnd w:id="288"/>
    <w:bookmarkStart w:name="z295" w:id="289"/>
    <w:p>
      <w:pPr>
        <w:spacing w:after="0"/>
        <w:ind w:left="0"/>
        <w:jc w:val="both"/>
      </w:pPr>
      <w:r>
        <w:rPr>
          <w:rFonts w:ascii="Times New Roman"/>
          <w:b w:val="false"/>
          <w:i w:val="false"/>
          <w:color w:val="000000"/>
          <w:sz w:val="28"/>
        </w:rPr>
        <w:t>
      67. Протокольное решение о назначении, прекращении или модификации иммуносупрессивной и (или) биологической терапии в пределах Перечня ГОБМП и (или) ОСМС:</w:t>
      </w:r>
    </w:p>
    <w:bookmarkEnd w:id="289"/>
    <w:bookmarkStart w:name="z296" w:id="290"/>
    <w:p>
      <w:pPr>
        <w:spacing w:after="0"/>
        <w:ind w:left="0"/>
        <w:jc w:val="both"/>
      </w:pPr>
      <w:r>
        <w:rPr>
          <w:rFonts w:ascii="Times New Roman"/>
          <w:b w:val="false"/>
          <w:i w:val="false"/>
          <w:color w:val="000000"/>
          <w:sz w:val="28"/>
        </w:rPr>
        <w:t>
      1) принимается комиссией, создаваемой местным органом государственного управления здравоохранением, в состав которой включаются:</w:t>
      </w:r>
    </w:p>
    <w:bookmarkEnd w:id="290"/>
    <w:bookmarkStart w:name="z297" w:id="291"/>
    <w:p>
      <w:pPr>
        <w:spacing w:after="0"/>
        <w:ind w:left="0"/>
        <w:jc w:val="both"/>
      </w:pPr>
      <w:r>
        <w:rPr>
          <w:rFonts w:ascii="Times New Roman"/>
          <w:b w:val="false"/>
          <w:i w:val="false"/>
          <w:color w:val="000000"/>
          <w:sz w:val="28"/>
        </w:rPr>
        <w:t>
      заместитель руководителя местного органа государственного управления здравоохранением (председатель);</w:t>
      </w:r>
    </w:p>
    <w:bookmarkEnd w:id="291"/>
    <w:bookmarkStart w:name="z298" w:id="292"/>
    <w:p>
      <w:pPr>
        <w:spacing w:after="0"/>
        <w:ind w:left="0"/>
        <w:jc w:val="both"/>
      </w:pPr>
      <w:r>
        <w:rPr>
          <w:rFonts w:ascii="Times New Roman"/>
          <w:b w:val="false"/>
          <w:i w:val="false"/>
          <w:color w:val="000000"/>
          <w:sz w:val="28"/>
        </w:rPr>
        <w:t>
      ответственный профильный специалист (гастроэнтеролог) местного органа государственного управления здравоохранением;</w:t>
      </w:r>
    </w:p>
    <w:bookmarkEnd w:id="292"/>
    <w:bookmarkStart w:name="z299" w:id="293"/>
    <w:p>
      <w:pPr>
        <w:spacing w:after="0"/>
        <w:ind w:left="0"/>
        <w:jc w:val="both"/>
      </w:pPr>
      <w:r>
        <w:rPr>
          <w:rFonts w:ascii="Times New Roman"/>
          <w:b w:val="false"/>
          <w:i w:val="false"/>
          <w:color w:val="000000"/>
          <w:sz w:val="28"/>
        </w:rPr>
        <w:t>
      руководитель ЦГГ;</w:t>
      </w:r>
    </w:p>
    <w:bookmarkEnd w:id="293"/>
    <w:bookmarkStart w:name="z300" w:id="294"/>
    <w:p>
      <w:pPr>
        <w:spacing w:after="0"/>
        <w:ind w:left="0"/>
        <w:jc w:val="both"/>
      </w:pPr>
      <w:r>
        <w:rPr>
          <w:rFonts w:ascii="Times New Roman"/>
          <w:b w:val="false"/>
          <w:i w:val="false"/>
          <w:color w:val="000000"/>
          <w:sz w:val="28"/>
        </w:rPr>
        <w:t>
      2) основывается на решении консилиума ЦГГ, а в случае амбулаторного лекарственного обеспечения биологическими препаратами, кроме решения консилиума ЦГГ, – консультативном заключении республиканской медицинской организации (в том числе, выданном с использованием телемедицины), определенной уполномоченным органом в области здравоохранения;</w:t>
      </w:r>
    </w:p>
    <w:bookmarkEnd w:id="294"/>
    <w:bookmarkStart w:name="z301" w:id="295"/>
    <w:p>
      <w:pPr>
        <w:spacing w:after="0"/>
        <w:ind w:left="0"/>
        <w:jc w:val="both"/>
      </w:pPr>
      <w:r>
        <w:rPr>
          <w:rFonts w:ascii="Times New Roman"/>
          <w:b w:val="false"/>
          <w:i w:val="false"/>
          <w:color w:val="000000"/>
          <w:sz w:val="28"/>
        </w:rPr>
        <w:t>
      3) вносится в консультативное заключение, выдаваемое пациенту.</w:t>
      </w:r>
    </w:p>
    <w:bookmarkEnd w:id="295"/>
    <w:bookmarkStart w:name="z302" w:id="296"/>
    <w:p>
      <w:pPr>
        <w:spacing w:after="0"/>
        <w:ind w:left="0"/>
        <w:jc w:val="both"/>
      </w:pPr>
      <w:r>
        <w:rPr>
          <w:rFonts w:ascii="Times New Roman"/>
          <w:b w:val="false"/>
          <w:i w:val="false"/>
          <w:color w:val="000000"/>
          <w:sz w:val="28"/>
        </w:rPr>
        <w:t>
      68. Проведение и мониторинг терапии предусматривает следующее:</w:t>
      </w:r>
    </w:p>
    <w:bookmarkEnd w:id="296"/>
    <w:bookmarkStart w:name="z303" w:id="297"/>
    <w:p>
      <w:pPr>
        <w:spacing w:after="0"/>
        <w:ind w:left="0"/>
        <w:jc w:val="both"/>
      </w:pPr>
      <w:r>
        <w:rPr>
          <w:rFonts w:ascii="Times New Roman"/>
          <w:b w:val="false"/>
          <w:i w:val="false"/>
          <w:color w:val="000000"/>
          <w:sz w:val="28"/>
        </w:rPr>
        <w:t>
      1) направление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по месту прикрепления, а при его отсутствии – врачом ПМСП;</w:t>
      </w:r>
    </w:p>
    <w:bookmarkEnd w:id="297"/>
    <w:bookmarkStart w:name="z304" w:id="298"/>
    <w:p>
      <w:pPr>
        <w:spacing w:after="0"/>
        <w:ind w:left="0"/>
        <w:jc w:val="both"/>
      </w:pPr>
      <w:r>
        <w:rPr>
          <w:rFonts w:ascii="Times New Roman"/>
          <w:b w:val="false"/>
          <w:i w:val="false"/>
          <w:color w:val="000000"/>
          <w:sz w:val="28"/>
        </w:rPr>
        <w:t>
      2) осуществление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в ЦГГ, в том числе, дневном стационаре (инфузионном кабинете), либо (в случае госпитализации) в гастроэнтерологическом отделении или отделении, имеющем гастроэнтерологическую профилизацию (включая койки дневного пребывания) организаций здравоохранения, определяемых местным органом государственного управления здравоохранением, а также подведомственных республиканских организаций здравоохранения;</w:t>
      </w:r>
    </w:p>
    <w:bookmarkEnd w:id="298"/>
    <w:bookmarkStart w:name="z305" w:id="299"/>
    <w:p>
      <w:pPr>
        <w:spacing w:after="0"/>
        <w:ind w:left="0"/>
        <w:jc w:val="both"/>
      </w:pPr>
      <w:r>
        <w:rPr>
          <w:rFonts w:ascii="Times New Roman"/>
          <w:b w:val="false"/>
          <w:i w:val="false"/>
          <w:color w:val="000000"/>
          <w:sz w:val="28"/>
        </w:rPr>
        <w:t>
      3) у пациентов с неосложненным течением ВЗК, находящихся в фазе клинической (клинико-эндоскопической) ремиссии, и не получающих иммуносупрессивную и (или) биологическую терапию, возможное осуществление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по месту прикрепления, а при его отсутствии – врачом ПМСП, в соответствии с консультативным заключением, выданным ЦГГ;</w:t>
      </w:r>
    </w:p>
    <w:bookmarkEnd w:id="299"/>
    <w:bookmarkStart w:name="z306" w:id="300"/>
    <w:p>
      <w:pPr>
        <w:spacing w:after="0"/>
        <w:ind w:left="0"/>
        <w:jc w:val="both"/>
      </w:pPr>
      <w:r>
        <w:rPr>
          <w:rFonts w:ascii="Times New Roman"/>
          <w:b w:val="false"/>
          <w:i w:val="false"/>
          <w:color w:val="000000"/>
          <w:sz w:val="28"/>
        </w:rPr>
        <w:t>
      4) включает следующий объем медицинской помощи:</w:t>
      </w:r>
    </w:p>
    <w:bookmarkEnd w:id="300"/>
    <w:bookmarkStart w:name="z307" w:id="301"/>
    <w:p>
      <w:pPr>
        <w:spacing w:after="0"/>
        <w:ind w:left="0"/>
        <w:jc w:val="both"/>
      </w:pPr>
      <w:r>
        <w:rPr>
          <w:rFonts w:ascii="Times New Roman"/>
          <w:b w:val="false"/>
          <w:i w:val="false"/>
          <w:color w:val="000000"/>
          <w:sz w:val="28"/>
        </w:rPr>
        <w:t>
      исчерпывающие разъяснения о целях, правилах, режиме прогнозируемой эффективности, возможных побочных явлениях и рисках применения лекарственных препаратов, а в случае назначения или модификации иммуносупрессивной или биологической терапии – с предварительным подписанием пациентом с ВЗК или его законными представителями информированного согласия;</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выписку рецептов на получение пациентами лекарственных средств, осуществляемую врачом ЦГГ или врачом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по месту прикрепления, а при его отсутствии – врачом ПМСП, в соответствии с консультативным заключением, выданным ЦГГ;</w:t>
      </w:r>
    </w:p>
    <w:bookmarkStart w:name="z309" w:id="302"/>
    <w:p>
      <w:pPr>
        <w:spacing w:after="0"/>
        <w:ind w:left="0"/>
        <w:jc w:val="both"/>
      </w:pPr>
      <w:r>
        <w:rPr>
          <w:rFonts w:ascii="Times New Roman"/>
          <w:b w:val="false"/>
          <w:i w:val="false"/>
          <w:color w:val="000000"/>
          <w:sz w:val="28"/>
        </w:rPr>
        <w:t>
      направление на консультацию к профильным специалистам (по показаниям);</w:t>
      </w:r>
    </w:p>
    <w:bookmarkEnd w:id="302"/>
    <w:bookmarkStart w:name="z310" w:id="303"/>
    <w:p>
      <w:pPr>
        <w:spacing w:after="0"/>
        <w:ind w:left="0"/>
        <w:jc w:val="both"/>
      </w:pPr>
      <w:r>
        <w:rPr>
          <w:rFonts w:ascii="Times New Roman"/>
          <w:b w:val="false"/>
          <w:i w:val="false"/>
          <w:color w:val="000000"/>
          <w:sz w:val="28"/>
        </w:rPr>
        <w:t>
      мониторинг и оценку эффективности, безопасности, а также модификацию режима лечения на основе клинико-лабораторных и инструментальных исследований (включая рутинные клинические, серологические, микробиологические, эндоскопические, патоморфологические, лучевые, а также специфические лабораторные методы оценки активности заболевания, наличия оппортунистических инфекций и побочных явлений лекарственной терапии) с кратностью обследования согласно Клиническим протоколам;</w:t>
      </w:r>
    </w:p>
    <w:bookmarkEnd w:id="303"/>
    <w:bookmarkStart w:name="z311" w:id="304"/>
    <w:p>
      <w:pPr>
        <w:spacing w:after="0"/>
        <w:ind w:left="0"/>
        <w:jc w:val="both"/>
      </w:pPr>
      <w:r>
        <w:rPr>
          <w:rFonts w:ascii="Times New Roman"/>
          <w:b w:val="false"/>
          <w:i w:val="false"/>
          <w:color w:val="000000"/>
          <w:sz w:val="28"/>
        </w:rPr>
        <w:t>
      5) ЦГГ обеспечивает ежеквартальную подачу информации о количестве пациентов, взятых на терапию ВЗК и о количестве пациентов, которым терапия была отменена, модифицирована или завершена, в местный орган государственного управления здравоохранением;</w:t>
      </w:r>
    </w:p>
    <w:bookmarkEnd w:id="304"/>
    <w:bookmarkStart w:name="z312" w:id="305"/>
    <w:p>
      <w:pPr>
        <w:spacing w:after="0"/>
        <w:ind w:left="0"/>
        <w:jc w:val="both"/>
      </w:pPr>
      <w:r>
        <w:rPr>
          <w:rFonts w:ascii="Times New Roman"/>
          <w:b w:val="false"/>
          <w:i w:val="false"/>
          <w:color w:val="000000"/>
          <w:sz w:val="28"/>
        </w:rPr>
        <w:t>
      6) отпуск препаратов для лечения ВЗК с их доведением до районного уровня с учетом потребности и доступности, а также контроль за отпуском и наличием препаратов, производятся организацией здравоохранения, осуществляющей фармацевтическую деятельность, определяемой местным органом государственного управления здравоохранением;</w:t>
      </w:r>
    </w:p>
    <w:bookmarkEnd w:id="305"/>
    <w:bookmarkStart w:name="z313" w:id="306"/>
    <w:p>
      <w:pPr>
        <w:spacing w:after="0"/>
        <w:ind w:left="0"/>
        <w:jc w:val="both"/>
      </w:pPr>
      <w:r>
        <w:rPr>
          <w:rFonts w:ascii="Times New Roman"/>
          <w:b w:val="false"/>
          <w:i w:val="false"/>
          <w:color w:val="000000"/>
          <w:sz w:val="28"/>
        </w:rPr>
        <w:t>
      69. Профилактические меры и консультирование предусматривают следующее:</w:t>
      </w:r>
    </w:p>
    <w:bookmarkEnd w:id="306"/>
    <w:bookmarkStart w:name="z314" w:id="307"/>
    <w:p>
      <w:pPr>
        <w:spacing w:after="0"/>
        <w:ind w:left="0"/>
        <w:jc w:val="both"/>
      </w:pPr>
      <w:r>
        <w:rPr>
          <w:rFonts w:ascii="Times New Roman"/>
          <w:b w:val="false"/>
          <w:i w:val="false"/>
          <w:color w:val="000000"/>
          <w:sz w:val="28"/>
        </w:rPr>
        <w:t>
      1) пациенты с ВЗК подлежат динамическому наблюдению по месту прикрепления;</w:t>
      </w:r>
    </w:p>
    <w:bookmarkEnd w:id="307"/>
    <w:bookmarkStart w:name="z315" w:id="308"/>
    <w:p>
      <w:pPr>
        <w:spacing w:after="0"/>
        <w:ind w:left="0"/>
        <w:jc w:val="both"/>
      </w:pPr>
      <w:r>
        <w:rPr>
          <w:rFonts w:ascii="Times New Roman"/>
          <w:b w:val="false"/>
          <w:i w:val="false"/>
          <w:color w:val="000000"/>
          <w:sz w:val="28"/>
        </w:rPr>
        <w:t>
      2) специалистами, осуществляющими ведение пациентов с ВЗК на всех этапах, даются исчерпывающие разъяснения относительно факторов риска прогрессирования заболевания, а также о репродуктивном здоровье;</w:t>
      </w:r>
    </w:p>
    <w:bookmarkEnd w:id="308"/>
    <w:bookmarkStart w:name="z316" w:id="309"/>
    <w:p>
      <w:pPr>
        <w:spacing w:after="0"/>
        <w:ind w:left="0"/>
        <w:jc w:val="both"/>
      </w:pPr>
      <w:r>
        <w:rPr>
          <w:rFonts w:ascii="Times New Roman"/>
          <w:b w:val="false"/>
          <w:i w:val="false"/>
          <w:color w:val="000000"/>
          <w:sz w:val="28"/>
        </w:rPr>
        <w:t>
      3) пациенты с ВЗК подлежат регулярному скринингу на колоректальный рак, включающему проведение илеоколоноскопии на базе ЦГГ, а при отсутствии возможности - иной медицинской организации по решению местных органов государственного управления здравоохранением;</w:t>
      </w:r>
    </w:p>
    <w:bookmarkEnd w:id="309"/>
    <w:bookmarkStart w:name="z317" w:id="310"/>
    <w:p>
      <w:pPr>
        <w:spacing w:after="0"/>
        <w:ind w:left="0"/>
        <w:jc w:val="both"/>
      </w:pPr>
      <w:r>
        <w:rPr>
          <w:rFonts w:ascii="Times New Roman"/>
          <w:b w:val="false"/>
          <w:i w:val="false"/>
          <w:color w:val="000000"/>
          <w:sz w:val="28"/>
        </w:rPr>
        <w:t>
      4) пациентам с ВЗК предоставляется необходимая психологическая поддержка, а также консультативная помощь по планированию семьи (совместно с акушером-гинекологом, урологом).</w:t>
      </w:r>
    </w:p>
    <w:bookmarkEnd w:id="310"/>
    <w:bookmarkStart w:name="z318" w:id="311"/>
    <w:p>
      <w:pPr>
        <w:spacing w:after="0"/>
        <w:ind w:left="0"/>
        <w:jc w:val="both"/>
      </w:pPr>
      <w:r>
        <w:rPr>
          <w:rFonts w:ascii="Times New Roman"/>
          <w:b w:val="false"/>
          <w:i w:val="false"/>
          <w:color w:val="000000"/>
          <w:sz w:val="28"/>
        </w:rPr>
        <w:t>
      70. Постановка на учет пациентов c диагнозом ВЗК, ранее установленного в другой медицинской организации, производится в организации, оказывающей амбулаторно-поликлиническую помощь по месту прикрепления, путем передачи медицинской документации и обсуждения с профильным специалистом медицинской организации по месту предшествующего прикрепления, учета и наблюдения.</w:t>
      </w:r>
    </w:p>
    <w:bookmarkEnd w:id="311"/>
    <w:bookmarkStart w:name="z319" w:id="312"/>
    <w:p>
      <w:pPr>
        <w:spacing w:after="0"/>
        <w:ind w:left="0"/>
        <w:jc w:val="both"/>
      </w:pPr>
      <w:r>
        <w:rPr>
          <w:rFonts w:ascii="Times New Roman"/>
          <w:b w:val="false"/>
          <w:i w:val="false"/>
          <w:color w:val="000000"/>
          <w:sz w:val="28"/>
        </w:rPr>
        <w:t>
      71. По факту установления диагноза ВЗК, результатам обследования, лечения (включая назначение, модификацию или отмену терапии), скрининга колоректального рака у пациентов с ВЗК, врач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по месту прикрепления, а при его отсутствии – врач ПМСП – вносит соответствующую информацию в медицинские информационные системы.</w:t>
      </w:r>
    </w:p>
    <w:bookmarkEnd w:id="312"/>
    <w:bookmarkStart w:name="z320" w:id="313"/>
    <w:p>
      <w:pPr>
        <w:spacing w:after="0"/>
        <w:ind w:left="0"/>
        <w:jc w:val="left"/>
      </w:pPr>
      <w:r>
        <w:rPr>
          <w:rFonts w:ascii="Times New Roman"/>
          <w:b/>
          <w:i w:val="false"/>
          <w:color w:val="000000"/>
        </w:rPr>
        <w:t xml:space="preserve"> Глава 7. Общие характеристики оказания гастроэнтерологической и гепатологической помощи пациентам до и после трансплантации печени</w:t>
      </w:r>
    </w:p>
    <w:bookmarkEnd w:id="313"/>
    <w:bookmarkStart w:name="z321" w:id="314"/>
    <w:p>
      <w:pPr>
        <w:spacing w:after="0"/>
        <w:ind w:left="0"/>
        <w:jc w:val="both"/>
      </w:pPr>
      <w:r>
        <w:rPr>
          <w:rFonts w:ascii="Times New Roman"/>
          <w:b w:val="false"/>
          <w:i w:val="false"/>
          <w:color w:val="000000"/>
          <w:sz w:val="28"/>
        </w:rPr>
        <w:t>
      72. Оказание медицинской помощи пациентам до и после трансплантации печени в пределах Перечня ГОБМП и (или) ОСМС осуществляется в амбулаторно-поликлинических организациях по месту прикрепления, ЦГГ, многопрофильных стационарах, ведомственных и республиканских организациях, в том числе медицинских организациях, выполняющих трансплантацию печени.</w:t>
      </w:r>
    </w:p>
    <w:bookmarkEnd w:id="314"/>
    <w:bookmarkStart w:name="z322" w:id="315"/>
    <w:p>
      <w:pPr>
        <w:spacing w:after="0"/>
        <w:ind w:left="0"/>
        <w:jc w:val="both"/>
      </w:pPr>
      <w:r>
        <w:rPr>
          <w:rFonts w:ascii="Times New Roman"/>
          <w:b w:val="false"/>
          <w:i w:val="false"/>
          <w:color w:val="000000"/>
          <w:sz w:val="28"/>
        </w:rPr>
        <w:t xml:space="preserve">
      73. Медицинская помощь пациентам до и после трансплантации печени предоставляется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марта 2019 года № ҚР ДСМ-13 "Об утверждении Стандарта организации оказания медицинских услуг по трансплантации тканей (части ткани) и (или) органов (части органов) в Республике Казахстан и иных видов медицинской помощи донорам и реципиентам и Правил и условий изъятия, заготовки, хранения, консервации, транспортировки тканей (части ткани) и (или) органов (части органов)" (зарегистрирован в Реестре государственной регистрации нормативных правовых актов под № 129772).</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w:t>
            </w:r>
            <w:r>
              <w:br/>
            </w:r>
            <w:r>
              <w:rPr>
                <w:rFonts w:ascii="Times New Roman"/>
                <w:b w:val="false"/>
                <w:i w:val="false"/>
                <w:color w:val="000000"/>
                <w:sz w:val="20"/>
              </w:rPr>
              <w:t>гастроэнтерологической и</w:t>
            </w:r>
            <w:r>
              <w:br/>
            </w:r>
            <w:r>
              <w:rPr>
                <w:rFonts w:ascii="Times New Roman"/>
                <w:b w:val="false"/>
                <w:i w:val="false"/>
                <w:color w:val="000000"/>
                <w:sz w:val="20"/>
              </w:rPr>
              <w:t>гепатологической помощи в</w:t>
            </w:r>
            <w:r>
              <w:br/>
            </w:r>
            <w:r>
              <w:rPr>
                <w:rFonts w:ascii="Times New Roman"/>
                <w:b w:val="false"/>
                <w:i w:val="false"/>
                <w:color w:val="000000"/>
                <w:sz w:val="20"/>
              </w:rPr>
              <w:t>Республике Казахстан</w:t>
            </w:r>
          </w:p>
        </w:tc>
      </w:tr>
    </w:tbl>
    <w:bookmarkStart w:name="z324" w:id="316"/>
    <w:p>
      <w:pPr>
        <w:spacing w:after="0"/>
        <w:ind w:left="0"/>
        <w:jc w:val="left"/>
      </w:pPr>
      <w:r>
        <w:rPr>
          <w:rFonts w:ascii="Times New Roman"/>
          <w:b/>
          <w:i w:val="false"/>
          <w:color w:val="000000"/>
        </w:rPr>
        <w:t xml:space="preserve"> Минимальный перечень медицинского оборудования в организации здравоохранения, имеющей в структуре кабинет гастроэнтеролога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эзофагогастродуоденоскопии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(видеопроцессор, монитор, осветитель,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ректоскопии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 для ректоскопа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мойки и стерилизации эндоскопов и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автоматической мойки и стерилизации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и хранения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лучевой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ультразвуковой диагностики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проведения дыхательного уреазного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w:t>
            </w:r>
            <w:r>
              <w:br/>
            </w:r>
            <w:r>
              <w:rPr>
                <w:rFonts w:ascii="Times New Roman"/>
                <w:b w:val="false"/>
                <w:i w:val="false"/>
                <w:color w:val="000000"/>
                <w:sz w:val="20"/>
              </w:rPr>
              <w:t>гастроэнтерологической и</w:t>
            </w:r>
            <w:r>
              <w:br/>
            </w:r>
            <w:r>
              <w:rPr>
                <w:rFonts w:ascii="Times New Roman"/>
                <w:b w:val="false"/>
                <w:i w:val="false"/>
                <w:color w:val="000000"/>
                <w:sz w:val="20"/>
              </w:rPr>
              <w:t>гепатологической помощи в</w:t>
            </w:r>
            <w:r>
              <w:br/>
            </w:r>
            <w:r>
              <w:rPr>
                <w:rFonts w:ascii="Times New Roman"/>
                <w:b w:val="false"/>
                <w:i w:val="false"/>
                <w:color w:val="000000"/>
                <w:sz w:val="20"/>
              </w:rPr>
              <w:t>Республике Казахстан</w:t>
            </w:r>
          </w:p>
        </w:tc>
      </w:tr>
    </w:tbl>
    <w:bookmarkStart w:name="z326" w:id="317"/>
    <w:p>
      <w:pPr>
        <w:spacing w:after="0"/>
        <w:ind w:left="0"/>
        <w:jc w:val="left"/>
      </w:pPr>
      <w:r>
        <w:rPr>
          <w:rFonts w:ascii="Times New Roman"/>
          <w:b/>
          <w:i w:val="false"/>
          <w:color w:val="000000"/>
        </w:rPr>
        <w:t xml:space="preserve"> Минимальный перечень медицинского оборудования в организации здравоохранения, имеющей в структуре ЦГГ</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эзофагогастродуоденоскопии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(видеопроцессор, монитор, осветитель,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Видеогастроскоп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колоно- и ректоскопии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1.Видеоколоноскоп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 для ректоскопа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мойки и стерилизации эндоскопов и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автоматической мойки и стерилизации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и хранения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лучевой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диагностики с функцией допплерогафического картирования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непрямой эластографии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w:t>
            </w:r>
            <w:r>
              <w:br/>
            </w:r>
            <w:r>
              <w:rPr>
                <w:rFonts w:ascii="Times New Roman"/>
                <w:b w:val="false"/>
                <w:i w:val="false"/>
                <w:color w:val="000000"/>
                <w:sz w:val="20"/>
              </w:rPr>
              <w:t>гастроэнтерологической и</w:t>
            </w:r>
            <w:r>
              <w:br/>
            </w:r>
            <w:r>
              <w:rPr>
                <w:rFonts w:ascii="Times New Roman"/>
                <w:b w:val="false"/>
                <w:i w:val="false"/>
                <w:color w:val="000000"/>
                <w:sz w:val="20"/>
              </w:rPr>
              <w:t>гепатологической помощи в</w:t>
            </w:r>
            <w:r>
              <w:br/>
            </w:r>
            <w:r>
              <w:rPr>
                <w:rFonts w:ascii="Times New Roman"/>
                <w:b w:val="false"/>
                <w:i w:val="false"/>
                <w:color w:val="000000"/>
                <w:sz w:val="20"/>
              </w:rPr>
              <w:t>Республике Казахстан</w:t>
            </w:r>
          </w:p>
        </w:tc>
      </w:tr>
    </w:tbl>
    <w:bookmarkStart w:name="z328" w:id="318"/>
    <w:p>
      <w:pPr>
        <w:spacing w:after="0"/>
        <w:ind w:left="0"/>
        <w:jc w:val="left"/>
      </w:pPr>
      <w:r>
        <w:rPr>
          <w:rFonts w:ascii="Times New Roman"/>
          <w:b/>
          <w:i w:val="false"/>
          <w:color w:val="000000"/>
        </w:rPr>
        <w:t xml:space="preserve"> Минимальный перечень медицинского оборудования в здравоохранения, имеющей в структуре отделение гастроэнтерологии (гастроэнтерологии и гепатологии)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эндоскопии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эзофагогастродуоденоскопии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Видеогастроскоп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Эндоскопический осветитель или процессор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колоно- и ректоскопии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2.Видеоколоноскоп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биопсийные для ректоскопа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Ренгтгенэндоскопическая операционная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Видеоэндоскопическая система (процессор, монитор, отсасыватель)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Видеодуоденоскоп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эндоскоп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рентгенологический аппарат с электрооптическим преобразователем или С-дуга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Наркозно-дыхательный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для ЭРХПГ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для гастроскопии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для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 для гастроскопии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Инжекторы для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дормиа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Клипатор с набором клипс для гастро- и колоноскопии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Инструментарий для удаления инородных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осветитель или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или стол для осмотра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и флаконы с формалином для взятия материала на морфологическое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мойки и стерилизации эндоскопов и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автоматической мойки и стерилизации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и хранения эндоскопов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лучевой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рентгенологическая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диагностики с функцией допплерогафического картирования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измерения эластичности (эластометрии)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магниторезонансный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 для введения контрастного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Наборы для пункционной биопсии печени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объема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проведения внутрижелудочной рН-метрии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проведения дыхательного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