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06b9" w14:textId="bbf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апреля 2019 года № 159. Зарегистрирован в Министерстве юстиции Республики Казахстан 23 апреля 2019 года № 18574.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19 (девятнадцать) рабочих дней.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Государственной корпорации – 15 минут;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минут.";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постановление акимата городов Астаны, Алматы и Шымкент,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 (-и), в случае если состоит в браке;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 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услугополучателя и (или) супруга (-и), если состоит в браке;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мнение ребенка (детей) (при достижении возраста десяти лет).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 (-и), в случае если состоит в браке;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 о доходах услугополучателя и (или) супруга (-и), если состоит в браке;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мнения ребенка (детей) (при достижении возраста десяти лет).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и документов, указанных в подпункте 7) перечня, предоставляемого услугодателю,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(в случае рождения ребенка после 13 августа 2007 года), справка о рождении (в случае рождения ребенка вне брака после 2008 года), свидетельство о заключении брака (в случае заключения брака после 2008 года),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адресной справки услугополучателя, документы, подтверждающие получение государственных социальных пособий и иных социальных выплат,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жилищно-бытовых условий лица, претендующего на воспитание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готовится услугодателем после предоставления вышеназванных документов в течение трех рабочих дней.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гоусдарственную услугу, а также уведомление с указанием даты и времени получения результата государственной услуги.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услугополучатель одновременно подает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распоряжения имуществом несовершеннолетних детей и оформления наследства несовершеннолетним детям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нотариального согласия супруга 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праве на наследство по закону (от нотариуса) (в случае получение наследства по закону);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подтверждающие наличие имущества.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документы, подтверждающие наличие имущества, справка о рождении (в случае рождения ребенка вне брака после 2008 года),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Государственная услуга оказывается акимом поселка, села, сельского округа (далее – услугодатель).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5 (пять) рабочих дней.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законодательству Республики Казахстан.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жительства лица, нуждающегося в опеке или попечительстве, либо по месту нахождения имущества, подлежащего опеке, без ускоренного обслуживания, возможно "бронирование" электронной очереди посредством портала.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учебы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справки с места учебы.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гоусдарственную услугу, а также уведомление с указанием даты и времени получения результата государственной услуги.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www.egov.kz.";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образования", утвержденном указанным приказом: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Государственная услуга оказывается местными исполнительными органами областей, городов Астаны, Алматы и Шымкент, районов и городов, организациями образования (далее – услугодатель).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5 (пять) рабочих дней.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портал: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медицинская справка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статус: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гоусдарственную услугу, а также уведомление с указанием даты и времени получения результата государственной услуги.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заключение брака после 2008 года)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www.egov.kz.";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утвержденном указанным приказом: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10 (десять) рабочих дней;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к услугодателю: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брака, если состоит в браке;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 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наличии либо отсутствии судимости услугополучателя и супруга (-и), если состоит в браке;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 (-и), если состоит в браке;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заключении брака, если состоит в браке;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справок о наличии либо отсутствии судимости услугополучателя и супруга (-и), если состоит в браке;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договора об открытии текущего счета в банке второго уровня.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гоусдарственную услугу, а также уведомление с указанием даты и времени получения результата государственной услуги.";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www.egov.kz".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(Ерсаинов Е.Е.) в установленном законодательством Республики Казахстан порядке обеспечить: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