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cdde" w14:textId="073c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элементам защиты паспорта транспортного средства (паспорта шасси транспортного средства) и паспорта самоходной машины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марта 2019 года № 129. Зарегистрирован в Министерстве юстиции Республики Казахстан 15 марта 2019 года № 18394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 статьи 15-1 Закона Республики Казахстан от 17 апреля 2014 года "О дорожном движении"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элементам защиты паспорта транспортного средства (паспорта шасси транспортного средства) и паспорта самоходной машины и других видов техники.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129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элементам защиты паспорта транспортного средства (паспорта шасси транспортного средства) и паспорта самоходной машины и других видов техники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элементам защиты паспорта транспортного средства (паспорта шасси транспортного средства) и паспорта самоходной машины и других видов техники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15-1 Закона Республики Казахстан от 17 апреля 2014 года "О дорожном движении" и в реализацию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года № 100 "О паспорте самоходной машины и других видов техники".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Бланки паспорта самоходной машины и других видов техники являются бланками строгой отчетности, изготавливаются на белой бумаге формата А4 (210 х 297 мм) с использованием красок, обеспечивающих защиту от исправлений или вытравок, типографским способом в соответствии со следующими требованиями, предъявляемыми к степени защиты бланков и имеют не менее 8 степеней защиты: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2-тоновый просветно-затененный водяной знак, обладающий выраженной контрастностью, обеспечивающей его надежный визуальный контроль;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 видов волокон, контролируемых в видимой или иных областях спектра. При этом допускается замена одного из видов волокон другими видами включений – конфетти, полимерными нитями, капсулированным люминофором. Не допускается применение специальных волокон, имеющих видимую люминесценцию голубого цвета под действием ультрафиолетового излучения;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2 фоновых сеток с переменным шагом и ирисовым раскатом;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микротекст, имеющий в позитивном исполнении высоту шрифта 150 – 200 мкм, а в негативном исполнении – 200 – 250 мкм;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элемент, отпечатанный краской, невидимой в видимом спектре и люминесцирующей под действием ультрафиолетового излучения желто-зеленым цветом;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элемент защиты от ксерокопирования;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голограмму с микротекстом, нанесенную методом горячего тиснения;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типографский номер, состоящий из серии бланка, 2-буквенного кода страны (в соответствии со справочником ISO 3166-1 (alpha-2)) и порядкового номера бланка (2 прописные буквы и 6 арабских цифр).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